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55" w:rsidRDefault="00237470" w:rsidP="003B5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3B5809" w:rsidRDefault="003B5809" w:rsidP="003B5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580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611655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3B5809" w:rsidRDefault="003B5809" w:rsidP="003B5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</w:t>
      </w:r>
    </w:p>
    <w:p w:rsidR="003B5809" w:rsidRDefault="003B5809" w:rsidP="003B5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580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DE1FAB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DE1FAB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4D53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E1FAB">
        <w:rPr>
          <w:rFonts w:ascii="Times New Roman" w:eastAsia="Times New Roman" w:hAnsi="Times New Roman" w:cs="Times New Roman"/>
          <w:sz w:val="28"/>
          <w:szCs w:val="28"/>
        </w:rPr>
        <w:t xml:space="preserve"> 3340</w:t>
      </w:r>
    </w:p>
    <w:p w:rsidR="003B5809" w:rsidRDefault="003B5809" w:rsidP="003B5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5809" w:rsidRPr="003B5809" w:rsidRDefault="003B5809" w:rsidP="003B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809" w:rsidRDefault="003B5809" w:rsidP="003B5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5809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3B5809" w:rsidRDefault="003B5809" w:rsidP="003B5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5809">
        <w:rPr>
          <w:rFonts w:ascii="Times New Roman" w:eastAsia="Times New Roman" w:hAnsi="Times New Roman" w:cs="Times New Roman"/>
          <w:sz w:val="28"/>
          <w:szCs w:val="28"/>
        </w:rPr>
        <w:t>формирования 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 xml:space="preserve">налоговых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и оценки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Московской области</w:t>
      </w:r>
    </w:p>
    <w:p w:rsidR="003B5809" w:rsidRDefault="003B5809" w:rsidP="003B5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5809" w:rsidRDefault="003B5809" w:rsidP="003B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809"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5809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3B5809" w:rsidRPr="003B5809" w:rsidRDefault="003B5809" w:rsidP="003B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809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1.Порядок формирования перечня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налоговых расходов 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Московской области и оценки налоговых расходов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 xml:space="preserve"> Раменского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осковской области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Порядок) определяет процедуру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формирования перечня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налоговых расходов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 xml:space="preserve"> Раменского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Московской области и оценки налоговых расходов </w:t>
      </w:r>
      <w:r w:rsidR="003B5809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Московской области (далее -налоговые расходы).</w:t>
      </w:r>
    </w:p>
    <w:p w:rsidR="003B5809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2.Для целей настоящего Порядка используются следующие термины и их определения:</w:t>
      </w:r>
    </w:p>
    <w:p w:rsidR="00B105C1" w:rsidRDefault="003B5809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куратор налогового расхода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 xml:space="preserve">орган </w:t>
      </w:r>
      <w:r w:rsidR="00B105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5C1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Московской области, ответственный в соответствии</w:t>
      </w:r>
      <w:r w:rsidR="00B10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с полномочиями, установленными нормативными правовыми актами</w:t>
      </w:r>
      <w:r w:rsidR="00B105C1">
        <w:rPr>
          <w:rFonts w:ascii="Times New Roman" w:eastAsia="Times New Roman" w:hAnsi="Times New Roman" w:cs="Times New Roman"/>
          <w:sz w:val="28"/>
          <w:szCs w:val="28"/>
        </w:rPr>
        <w:t xml:space="preserve"> Раменского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Московской области (далее </w:t>
      </w:r>
      <w:r w:rsidR="00B105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городской округ) за достижение соответствующих налоговому расходу городского округа целей муниципальных</w:t>
      </w:r>
      <w:r w:rsidR="00B10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программ городского округа и (или) целей социально-экономической политики</w:t>
      </w:r>
      <w:r w:rsidR="00B10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относящихся к муниципальным программам</w:t>
      </w:r>
      <w:r w:rsidR="00B10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B105C1" w:rsidRDefault="00B105C1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нормативные характеристики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сведения о положениях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которыми предусматриваются налоговые льготы, освобождения и иные преференции по налогам (далее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льготы), наименованиях налогов, по которым установлены льготы, категориях плательщиков, для которых предусмотрены льготы,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а также иные характеристики, предусмотренные нормативными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B105C1" w:rsidRDefault="00B105C1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оценка налоговых расходов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комплекс мероприятий по оценке объемов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обусловленных льготами, предоставленными плательщикам, а также по оценке эффективности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B105C1" w:rsidRDefault="00B105C1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оценка объемов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определение объемов выпадающих доходов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обусловленных льготами, предоставленными плательщикам;</w:t>
      </w:r>
    </w:p>
    <w:p w:rsidR="00B105C1" w:rsidRDefault="00B105C1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оценка эффективности налоговых расходов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комплекс мероприятий, позволяющих сделать вывод о целесообразности и результативности предоставления плательщикам льгот,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исходя из целевых характеристик налогового расхода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B105C1" w:rsidRDefault="00B105C1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перечень налоговых расходов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документ, содержащий сведения о распределении налоговых расходов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соответствии с целями 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структурных элементов муниципальных программ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(или) целями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относящимися 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а также о кураторах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налоговых расходов;</w:t>
      </w:r>
    </w:p>
    <w:p w:rsidR="00DB2DC4" w:rsidRDefault="00B105C1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отчетный год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год, предшествующий году размещения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DB2DC4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согласованного с кураторами</w:t>
      </w:r>
      <w:r w:rsidR="00DB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перечня налоговых расходов;</w:t>
      </w:r>
    </w:p>
    <w:p w:rsidR="00DB2DC4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плательщики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плательщики налогов;</w:t>
      </w:r>
    </w:p>
    <w:p w:rsidR="00DB2DC4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социальные налоговые расходы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целевая категория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обусловленных необходимостью обеспечения социальной защиты (поддержки) населения;</w:t>
      </w:r>
    </w:p>
    <w:p w:rsidR="00DB2DC4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стимулирующие налоговые расходы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целевая категория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предполагающих стимулирование экономической активности субъектов предпринимательской деятельности и последующее увеличение доходов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DB2DC4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технические налоговые расходы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целевая категория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предполагающих уменьшение расходов плательщиков, воспользовавшихся льготами, финансовое обеспечение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полном объеме или частично за счет средств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DB2DC4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фискальные характеристики налоговых расходов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сведения об объеме льгот, предоставленных плательщикам, о численности получателей льгот и об объеме налогов, задекларированных ими для уплаты в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3B5809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целевые характеристики налогового расхода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округа.</w:t>
      </w:r>
    </w:p>
    <w:p w:rsidR="00DB2DC4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3.В целях оценки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округа:</w:t>
      </w:r>
    </w:p>
    <w:p w:rsidR="00DB2DC4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1)определяет порядок формирования перечня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DB2DC4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2)определяет правила формирования информации о нормативных, целевых и фискальных характеристиках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3B5809" w:rsidRPr="003B5809" w:rsidRDefault="00DB2DC4" w:rsidP="003B5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3)определяет порядок обобщения результатов оценки эффективности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осуществляемой кураторами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налоговых расходов.</w:t>
      </w:r>
    </w:p>
    <w:p w:rsidR="00DB2DC4" w:rsidRDefault="00DB2DC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4.Оценка налоговых расходов городского округа осуществляется кураторами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налогового расхода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 разделом 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настоящего Порядка.</w:t>
      </w:r>
    </w:p>
    <w:p w:rsidR="00DB2DC4" w:rsidRDefault="00DB2DC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DC4" w:rsidRPr="00DB2DC4" w:rsidRDefault="003B5809" w:rsidP="00DB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809">
        <w:rPr>
          <w:rFonts w:ascii="Times New Roman" w:eastAsia="Times New Roman" w:hAnsi="Times New Roman" w:cs="Times New Roman"/>
          <w:b/>
          <w:sz w:val="28"/>
          <w:szCs w:val="28"/>
        </w:rPr>
        <w:t>II.</w:t>
      </w:r>
      <w:r w:rsidR="00DB2D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5809">
        <w:rPr>
          <w:rFonts w:ascii="Times New Roman" w:eastAsia="Times New Roman" w:hAnsi="Times New Roman" w:cs="Times New Roman"/>
          <w:b/>
          <w:sz w:val="28"/>
          <w:szCs w:val="28"/>
        </w:rPr>
        <w:t>Формирование перечня налоговых расходов</w:t>
      </w:r>
    </w:p>
    <w:p w:rsidR="00DB2DC4" w:rsidRDefault="00DB2DC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DC4" w:rsidRDefault="00DB2DC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5.Перечень кураторов налоговых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определен в приложении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 к настоящему Порядку.</w:t>
      </w:r>
    </w:p>
    <w:p w:rsidR="00DB2DC4" w:rsidRDefault="00DB2DC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6.Кураторы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налоговых расходов в срок до 15 января представляют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Отдел по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FB08D6">
        <w:rPr>
          <w:rFonts w:ascii="Times New Roman" w:eastAsia="Times New Roman" w:hAnsi="Times New Roman" w:cs="Times New Roman"/>
          <w:sz w:val="28"/>
          <w:szCs w:val="28"/>
        </w:rPr>
        <w:t xml:space="preserve">(далее -  Отдел по экономике)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предложения по отнесению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налоговых расходов городского округа 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исходя из 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структурных элементов муниципальных программ городского округа и (или) 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социально-экономической политики городского округа,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не относящихся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 муниципальным программам городского округа (далее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распределение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округа).</w:t>
      </w:r>
    </w:p>
    <w:p w:rsidR="00DB2DC4" w:rsidRDefault="00DB2DC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7.Проект перечня налоговых расходов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разрабатывается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Комитетом ф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инансов</w:t>
      </w:r>
      <w:r>
        <w:rPr>
          <w:rFonts w:ascii="Times New Roman" w:eastAsia="Times New Roman" w:hAnsi="Times New Roman" w:cs="Times New Roman"/>
          <w:sz w:val="28"/>
          <w:szCs w:val="28"/>
        </w:rPr>
        <w:t>, налоговой политики и казначейства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FB08D6">
        <w:rPr>
          <w:rFonts w:ascii="Times New Roman" w:eastAsia="Times New Roman" w:hAnsi="Times New Roman" w:cs="Times New Roman"/>
          <w:sz w:val="28"/>
          <w:szCs w:val="28"/>
        </w:rPr>
        <w:t xml:space="preserve">(далее - Комитет финансов)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по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 настоящему Порядку и до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направляется на согласование кураторам налоговых расходов.</w:t>
      </w:r>
    </w:p>
    <w:p w:rsidR="00FB08D6" w:rsidRDefault="00DB2DC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8.Кураторы налоговых расходов до 15 февраля рассматривают и согласовывают проект перечня налоговых расходов городского округа.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случае изменения показателя (индикатора) достижения целей 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структурных элементов муниципальных программ городского округа и (или) 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относящихся 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куратор налогового расхода представляет</w:t>
      </w:r>
      <w:r w:rsidR="00FB0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методику его расчета.</w:t>
      </w:r>
      <w:r w:rsidR="00FB0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B0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B0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если результаты рассмотрения не направлены в </w:t>
      </w:r>
      <w:r w:rsidR="00FB08D6">
        <w:rPr>
          <w:rFonts w:ascii="Times New Roman" w:eastAsia="Times New Roman" w:hAnsi="Times New Roman" w:cs="Times New Roman"/>
          <w:sz w:val="28"/>
          <w:szCs w:val="28"/>
        </w:rPr>
        <w:t>Комитет ф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инансов</w:t>
      </w:r>
      <w:r w:rsidR="00FB08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течение срока, указанного в абзаце первом настоящего пункта, проект перечня считается согласованным в соответствующей части.</w:t>
      </w:r>
    </w:p>
    <w:p w:rsidR="00FB08D6" w:rsidRDefault="00FB08D6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9.При наличии разногласий по проекту перечня налоговых расходов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Комитет ф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инансов до 1марта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обеспечивает проведение согласительных совещаний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соответствующими кураторами налоговых расходов.</w:t>
      </w:r>
    </w:p>
    <w:p w:rsidR="003B5809" w:rsidRPr="003B5809" w:rsidRDefault="00FB08D6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10.Согласованный,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по результатам согласительных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совещаний,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перечень налоговых расходов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считается сформированным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 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в разделе «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юджет»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не позднее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рабочих дней 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его согласования.</w:t>
      </w:r>
    </w:p>
    <w:p w:rsidR="00FB08D6" w:rsidRDefault="00FB08D6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11.Уточненный перечень налоговых расходов формируется в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до 1 октября в случае уточнения структуры муниципальных программ городского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lastRenderedPageBreak/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рамках составления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проекта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 бюджете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 очередной финансовый год и на плановый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до 15 декабря в случае уточнения структуры 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рамках 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утверждения проекта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 бюджете городского округа на очередной финансовый годи на плановый период.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срок не позднее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рабочих дней после формирования уточненного перечня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указанный перечень размещается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в разделе «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юджет»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FB08D6" w:rsidRDefault="00FB08D6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8D6" w:rsidRPr="00FB08D6" w:rsidRDefault="003B5809" w:rsidP="00FB0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809">
        <w:rPr>
          <w:rFonts w:ascii="Times New Roman" w:eastAsia="Times New Roman" w:hAnsi="Times New Roman" w:cs="Times New Roman"/>
          <w:b/>
          <w:sz w:val="28"/>
          <w:szCs w:val="28"/>
        </w:rPr>
        <w:t>III. Оценка налоговых расходов</w:t>
      </w:r>
    </w:p>
    <w:p w:rsidR="00FB08D6" w:rsidRDefault="00FB08D6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8D6" w:rsidRDefault="00FB08D6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Комитет ф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инансов до 1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направляет в Межрайонную инспекцию Федеральной налоговой службы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 по Московской области (далее МРИ ФНС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eastAsia="Times New Roman" w:hAnsi="Times New Roman" w:cs="Times New Roman"/>
          <w:sz w:val="28"/>
          <w:szCs w:val="28"/>
        </w:rPr>
        <w:t>№1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) сведения о категориях плательщиков,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 указанием обуславливающих соответствующие налоговые расходы правовых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округа, в том числе действовавших в отчетном году и в году, предшествующем отчетному году,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3 к настоящему порядку.</w:t>
      </w:r>
    </w:p>
    <w:p w:rsidR="00FB08D6" w:rsidRDefault="00FB08D6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13.МРИ ФНС России </w:t>
      </w:r>
      <w:r>
        <w:rPr>
          <w:rFonts w:ascii="Times New Roman" w:eastAsia="Times New Roman" w:hAnsi="Times New Roman" w:cs="Times New Roman"/>
          <w:sz w:val="28"/>
          <w:szCs w:val="28"/>
        </w:rPr>
        <w:t>№1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до 15 июля направляет в </w:t>
      </w:r>
      <w:r>
        <w:rPr>
          <w:rFonts w:ascii="Times New Roman" w:eastAsia="Times New Roman" w:hAnsi="Times New Roman" w:cs="Times New Roman"/>
          <w:sz w:val="28"/>
          <w:szCs w:val="28"/>
        </w:rPr>
        <w:t>Комитет ф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инансов 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по каждому налоговому расходу городского округа за отчетный год, а так 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пять лет, предшествующих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отчетному году,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по форме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 настоящему Порядку,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содержащие:</w:t>
      </w:r>
    </w:p>
    <w:p w:rsidR="00783CF4" w:rsidRDefault="00FB08D6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1) сведения о количестве плательщиков, воспользовавшихся льготами;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2) сведения о суммах выпадающих доходов бюджета городского округа по каждому налоговому расходу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3) сведения об объемах налогов, задекларированных для уплаты плательщиками в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по каждому налоговому расходу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в отношении стимулирующих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При необходимости предоставляет иную 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необходимую для оценки налоговых расходов городского округа, не составляющую налоговую тайну.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sz w:val="28"/>
          <w:szCs w:val="28"/>
        </w:rPr>
        <w:t>Комитет ф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инансов на основе сформированного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и размещенного на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в информационно-телекоммуникационной сети Интернет в разделе «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юджет»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перечня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округа организовывает 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по каждому налоговому расходу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срок до 1сентября.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15.По итогам оценки эффективности налогового расхода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выводы о достижении целевых характеристик налогового расхода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вкладе налогового расхода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достижение целей муниципальной программы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(или) целей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не относящихся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округа, а также о наличии или об отсутствии более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результативных (менее затратных) для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альтернативных механизмов достижения целей муниципальной программы городского округа и (или) целей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 муниципальным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программам городского округа.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16.Оценка эффективности налоговых расходов городского округа включает: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1)оценку целесообразности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2)оценку результативности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17.Критериями целесообразности налоговых расходов городского округа являются: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1)соответствие налоговых расходов городского округа целям и задачам 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программ городского округа (их структурным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элементам)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или иным целям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не относящимся 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2)</w:t>
      </w:r>
      <w:proofErr w:type="spellStart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востребованность</w:t>
      </w:r>
      <w:proofErr w:type="spellEnd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плательщиками предоставленных льгот, которая характеризуется соотношением численности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плательщиков, воспользовавшихся правом на льготы, и общей численности плательщиков, за 5-летний период.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18.Соответствие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 целям 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структурным элементам муниципальных программ городского округа и (или) целям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не относящимся к муниципальным программам городского округа,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соответствии с согласованным перечнем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Востребованность</w:t>
      </w:r>
      <w:proofErr w:type="spellEnd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плательщиками предоставленных льгот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Комитетом ф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инансов на основании данных налоговой отчетности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иной информации, не составляющей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налоговую тайну, предоставляемой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МРИ ФНС России </w:t>
      </w:r>
      <w:r>
        <w:rPr>
          <w:rFonts w:ascii="Times New Roman" w:eastAsia="Times New Roman" w:hAnsi="Times New Roman" w:cs="Times New Roman"/>
          <w:sz w:val="28"/>
          <w:szCs w:val="28"/>
        </w:rPr>
        <w:t>№1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19.В качестве критерия оценки результативности налогового расхода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определяется как минимум один показатель(индикатор) достижения целей 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программы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(или) целей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относящихся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иной показатель (индикатор), на значение которого оказывают влияние налоговые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20.Оценке подлежит вклад предусмотренных для плательщиков льгот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изменение значения показателя (индикатора) достижения целей муниципальной программы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(или) целей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относящихся 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21.Оценка результативности налоговых расходов городского округа также включает оценку бюджетной эффективности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22.В целях оценки бюджетной эффективности налоговых расходов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(или) целей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относящихся 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а также оценка совокупного бюджетного эффекта (самоокупаемости) стимулирующих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23.Сравнительный анализ проводит куратор налогового расхода в срок до 15августа в форме заключения о наличии и отсутствии альтернативных механизмов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достижения целей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(или) целей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их сравнительной эффективности по отношению к налоговым расходам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 приложением необходимых расчетов и материалов, в том числе предусмотренных пунктом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настоящего Порядка.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24.Сравнительный анализ включает сравнение объемов расходов бюджета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случае применения альтернативных механизмов достижения целей 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программы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(или) целей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и объемов предоставленных льгот (расчет прироста показателя (индикатора) достижения целей муниципальной программы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(или) целей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относящихся 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на 1 рубль налоговых расходов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на 1 рубль расходов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для достижения того же показателя (индикатора) в случае приме</w:t>
      </w:r>
      <w:r>
        <w:rPr>
          <w:rFonts w:ascii="Times New Roman" w:eastAsia="Times New Roman" w:hAnsi="Times New Roman" w:cs="Times New Roman"/>
          <w:sz w:val="28"/>
          <w:szCs w:val="28"/>
        </w:rPr>
        <w:t>нения альтернативных механизмов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качестве альтернативных механизмов достижения целей муниципальной программы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 (или) целей социально-экономической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не относящихся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 муниципальным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могут учитываться в том числе: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1) субсидии или иные формы непосредственной финансовой поддержки плательщиков, имеющих право на льготы, за счет средств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округа;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2) предоставление муниципальных гарантий по обязательствам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плательщиков, имеющих право на льготы;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783CF4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sz w:val="28"/>
          <w:szCs w:val="28"/>
        </w:rPr>
        <w:t>Комитет ф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инансов осуществляет оценку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совокупного бюджетного эффекта.</w:t>
      </w:r>
    </w:p>
    <w:p w:rsidR="00F95033" w:rsidRDefault="00783CF4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26.В целях оценки бюджетной эффективности стимулирующих налоговых расходов</w:t>
      </w:r>
      <w:r w:rsidR="00F95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округа, обусловленных льготами по местным налогам и иным преференциям наряду со сравнительным анализом, указанным в пункте 24</w:t>
      </w:r>
      <w:r w:rsidR="00F95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настоящего Порядка, рекомендуется рассчитывать оценку совокупного бюджетного эффекта (самоокупаемости) указанных налоговых расходов городского округа</w:t>
      </w:r>
      <w:r w:rsidR="00F95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F95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пунктом 27</w:t>
      </w:r>
      <w:r w:rsidR="00F95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настоящего Порядка. Показатель оценки совокупного бюджетного эффекта (самоокупаемости) является одним из критериев для определения результативности налоговых расходов</w:t>
      </w:r>
      <w:r w:rsidR="00F95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округа.</w:t>
      </w:r>
      <w:r w:rsidR="00F95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5033" w:rsidRDefault="00F95033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Оценка совокупного бюджетного эффекта (самоокупаемости) налоговых расходов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определяется отдельно по каждому налоговому расходу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городского округа. В случае если для отдельных категорий плательщиков, имеющих право на льготы, предоставлены льготы по нескольким видам налогов, сборов, оценка совокупного бюджетного эффекта (самоокупаемости) налоговых расходов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определяется в целом в отношении соответствующей категории плательщиков, имеющих льготы.</w:t>
      </w:r>
    </w:p>
    <w:p w:rsidR="00F95033" w:rsidRPr="00145FD8" w:rsidRDefault="00F95033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27.Оценка совокупного бюджетного эффекта (самоокупаемости) стимулирующих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налоговых расходов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на день проведения оценки эффективности налогового расхода городского округа(E) по следующей формуле:</w:t>
      </w:r>
    </w:p>
    <w:p w:rsidR="00DB64FF" w:rsidRPr="00145FD8" w:rsidRDefault="00DB64FF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4FF" w:rsidRPr="00DB64FF" w:rsidRDefault="00DB64FF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5FD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DB64F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7475" cy="723900"/>
            <wp:effectExtent l="0" t="0" r="9525" b="0"/>
            <wp:docPr id="2" name="Рисунок 1" descr="base_1_32749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27498_3276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690" cy="7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033" w:rsidRDefault="00F95033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95033" w:rsidRDefault="00F95033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95033" w:rsidRDefault="003B5809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80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F95033" w:rsidRDefault="00F95033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-порядковый номер года, имеющий значение от 1 до 5;</w:t>
      </w:r>
    </w:p>
    <w:p w:rsidR="00F95033" w:rsidRDefault="00F95033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mi</w:t>
      </w:r>
      <w:proofErr w:type="spellEnd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количество плательщиков, воспользовавшихся льготой в i-м году;</w:t>
      </w:r>
    </w:p>
    <w:p w:rsidR="00F95033" w:rsidRDefault="00F95033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spellEnd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порядковый номер плательщика, имеющий значение от 1 до </w:t>
      </w:r>
      <w:proofErr w:type="spellStart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5033" w:rsidRPr="00145FD8" w:rsidRDefault="00F95033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Nij</w:t>
      </w:r>
      <w:proofErr w:type="spellEnd"/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>объем налогов, задекларированных для уплаты в бюджет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09" w:rsidRPr="003B5809">
        <w:rPr>
          <w:rFonts w:ascii="Times New Roman" w:eastAsia="Times New Roman" w:hAnsi="Times New Roman" w:cs="Times New Roman"/>
          <w:sz w:val="28"/>
          <w:szCs w:val="28"/>
        </w:rPr>
        <w:t xml:space="preserve"> j-м плательщиком в i-м году.</w:t>
      </w:r>
    </w:p>
    <w:p w:rsidR="002D7D7D" w:rsidRPr="00145FD8" w:rsidRDefault="002D7D7D" w:rsidP="00DB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7D7D" w:rsidRDefault="002D7D7D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FD8">
        <w:rPr>
          <w:rFonts w:ascii="Times New Roman" w:eastAsia="Times New Roman" w:hAnsi="Times New Roman" w:cs="Times New Roman"/>
          <w:sz w:val="28"/>
          <w:szCs w:val="28"/>
        </w:rPr>
        <w:tab/>
      </w:r>
      <w:r w:rsidRPr="002D7D7D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объема налогов, задекларированных для уплаты в бюджет городского округа плательщиками, учитываются начисления по земельному налогу, налогу на имущество физических лиц. В случае если на день проведения оценки совокупного бюджетного эффекта (самоокупаемости) стимулирующих налоговых расходов городского округа для плательщиков, имеющих право на льготы, льготы действуют менее 6 лет, объемы налогов, подлежащих уплате в бюджет городского округа, оцениваются (прогнозируются) по данным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 ф</w:t>
      </w:r>
      <w:r w:rsidRPr="002D7D7D">
        <w:rPr>
          <w:rFonts w:ascii="Times New Roman" w:eastAsia="Times New Roman" w:hAnsi="Times New Roman" w:cs="Times New Roman"/>
          <w:sz w:val="28"/>
          <w:szCs w:val="28"/>
        </w:rPr>
        <w:t>инансов;</w:t>
      </w:r>
    </w:p>
    <w:p w:rsidR="00145FD8" w:rsidRDefault="00145FD8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Boj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базовый объем налогов, задекларированных для уплаты в бюджет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j-м плательщиком в базовом году;</w:t>
      </w:r>
    </w:p>
    <w:p w:rsidR="00145FD8" w:rsidRDefault="00145FD8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gi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номинальный темп прироста налоговых доходов бюджета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в i-м году по отношению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к показателям базового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Комитетом ф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инансов.</w:t>
      </w:r>
    </w:p>
    <w:p w:rsidR="00145FD8" w:rsidRDefault="00145FD8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расчетная стоимость среднесрочных рыночных заимствований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городского округа, рассчитываемая по формуле:</w:t>
      </w:r>
    </w:p>
    <w:p w:rsidR="00145FD8" w:rsidRDefault="00145FD8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iинф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45FD8" w:rsidRDefault="00145FD8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145FD8" w:rsidRDefault="00145FD8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iинф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целевой уровень инфляции (4 процента);</w:t>
      </w:r>
    </w:p>
    <w:p w:rsidR="00145FD8" w:rsidRDefault="00145FD8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реальная процентная ставка, определяемая на уровне 2,5 процента;</w:t>
      </w:r>
    </w:p>
    <w:p w:rsidR="009B0C8C" w:rsidRDefault="00145FD8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кредитная премия за риск, рассчитываемая для целей настоящего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в зависимости от отношения муниципального долга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по состоянию на 1 января текущего финансового года к доходам (без учета безвозмездных поступлений) за отчетный период:</w:t>
      </w:r>
    </w:p>
    <w:p w:rsidR="009B0C8C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в случае, если указанное отношение составляет менее 50 процентов, кредитная премия за риск принимается равной 1 проценту;</w:t>
      </w:r>
    </w:p>
    <w:p w:rsidR="009B0C8C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в случае, если указанное отношение составляет от 50 до 100 процентов, кредитная премия за риск принимается равной 2 процентам;</w:t>
      </w:r>
    </w:p>
    <w:p w:rsidR="009B0C8C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в случае, если указанное отношение составляет более 100 процентов, кредитная премия за риск принимается равной 3 процентам.</w:t>
      </w:r>
    </w:p>
    <w:p w:rsidR="009B0C8C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28.Базовый объем налогов, задекларированных для уплаты в бюджет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j-м плательщиком в базовом году (</w:t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Boj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), рассчитывается по формуле:</w:t>
      </w:r>
    </w:p>
    <w:p w:rsidR="009B0C8C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B0j = N0j + L0j,</w:t>
      </w:r>
    </w:p>
    <w:p w:rsidR="009B0C8C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B0C8C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N0j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объем налогов, задекларированных для уплаты в бюджет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j-м плательщиком в базовом году;</w:t>
      </w:r>
    </w:p>
    <w:p w:rsidR="009B0C8C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L0j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объем льгот, предоставленных </w:t>
      </w:r>
      <w:proofErr w:type="spellStart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j-му</w:t>
      </w:r>
      <w:proofErr w:type="spellEnd"/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 плательщику в базовом году.</w:t>
      </w:r>
    </w:p>
    <w:p w:rsidR="002D7D7D" w:rsidRPr="002D7D7D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9B0C8C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29.Итоги оценки эффективности налоговых расходов городского округа оформляются в форме сводной аналитической записки, которая 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Главе городского округа.</w:t>
      </w:r>
    </w:p>
    <w:p w:rsidR="009B0C8C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30.В</w:t>
      </w:r>
      <w:r w:rsidR="00DE1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случае выявления неэффективных налоговых расходов по результатам проведенной оценки,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Комитет ф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 xml:space="preserve">инансов готовит предложения и направляет в Совет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городского округа проект муниципального правового акта об отмене неэффективных налоговых расходов.</w:t>
      </w:r>
    </w:p>
    <w:p w:rsidR="008F3D9F" w:rsidRPr="002D7D7D" w:rsidRDefault="009B0C8C" w:rsidP="002D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31.Результаты оценки налоговых расходов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учитываются при формировании основных направлений бюджетной и налоговой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городского округа, а также при проведении оценки эффективности реализации 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D7D" w:rsidRPr="002D7D7D">
        <w:rPr>
          <w:rFonts w:ascii="Times New Roman" w:eastAsia="Times New Roman" w:hAnsi="Times New Roman" w:cs="Times New Roman"/>
          <w:sz w:val="28"/>
          <w:szCs w:val="28"/>
        </w:rPr>
        <w:t>городского округа.</w:t>
      </w:r>
    </w:p>
    <w:sectPr w:rsidR="008F3D9F" w:rsidRPr="002D7D7D" w:rsidSect="0015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B5809"/>
    <w:rsid w:val="00037AE6"/>
    <w:rsid w:val="00145FD8"/>
    <w:rsid w:val="00151E03"/>
    <w:rsid w:val="00237470"/>
    <w:rsid w:val="002D7D7D"/>
    <w:rsid w:val="002F464F"/>
    <w:rsid w:val="002F4E2D"/>
    <w:rsid w:val="003B5809"/>
    <w:rsid w:val="004D53A2"/>
    <w:rsid w:val="00611655"/>
    <w:rsid w:val="00783CF4"/>
    <w:rsid w:val="008F3D9F"/>
    <w:rsid w:val="009B0C8C"/>
    <w:rsid w:val="00B105C1"/>
    <w:rsid w:val="00DB2DC4"/>
    <w:rsid w:val="00DB64FF"/>
    <w:rsid w:val="00DE1FAB"/>
    <w:rsid w:val="00EA1C1C"/>
    <w:rsid w:val="00F70E13"/>
    <w:rsid w:val="00F95033"/>
    <w:rsid w:val="00FB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Бадисова</dc:creator>
  <cp:keywords/>
  <dc:description/>
  <cp:lastModifiedBy>Качкуркина</cp:lastModifiedBy>
  <cp:revision>10</cp:revision>
  <dcterms:created xsi:type="dcterms:W3CDTF">2020-02-27T13:57:00Z</dcterms:created>
  <dcterms:modified xsi:type="dcterms:W3CDTF">2022-06-06T06:44:00Z</dcterms:modified>
</cp:coreProperties>
</file>