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2C" w:rsidRDefault="00D17D2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17D2C" w:rsidRDefault="00D17D2C">
      <w:pPr>
        <w:pStyle w:val="ConsPlusNormal"/>
        <w:jc w:val="both"/>
        <w:outlineLvl w:val="0"/>
      </w:pPr>
    </w:p>
    <w:p w:rsidR="00D17D2C" w:rsidRDefault="00D17D2C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D17D2C" w:rsidRDefault="00D17D2C">
      <w:pPr>
        <w:pStyle w:val="ConsPlusTitle"/>
        <w:jc w:val="center"/>
      </w:pPr>
    </w:p>
    <w:p w:rsidR="00D17D2C" w:rsidRDefault="00D17D2C">
      <w:pPr>
        <w:pStyle w:val="ConsPlusTitle"/>
        <w:jc w:val="center"/>
      </w:pPr>
      <w:r>
        <w:t>КОМИССИЯ ТАМОЖЕННОГО СОЮЗА</w:t>
      </w:r>
    </w:p>
    <w:p w:rsidR="00D17D2C" w:rsidRDefault="00D17D2C">
      <w:pPr>
        <w:pStyle w:val="ConsPlusTitle"/>
        <w:jc w:val="center"/>
      </w:pPr>
    </w:p>
    <w:p w:rsidR="00D17D2C" w:rsidRDefault="00D17D2C">
      <w:pPr>
        <w:pStyle w:val="ConsPlusTitle"/>
        <w:jc w:val="center"/>
      </w:pPr>
      <w:r>
        <w:t>РЕШЕНИЕ</w:t>
      </w:r>
    </w:p>
    <w:p w:rsidR="00D17D2C" w:rsidRDefault="00D17D2C">
      <w:pPr>
        <w:pStyle w:val="ConsPlusTitle"/>
        <w:jc w:val="center"/>
      </w:pPr>
      <w:r>
        <w:t>от 18 октября 2011 г. N 827</w:t>
      </w:r>
    </w:p>
    <w:p w:rsidR="00D17D2C" w:rsidRDefault="00D17D2C">
      <w:pPr>
        <w:pStyle w:val="ConsPlusTitle"/>
        <w:jc w:val="center"/>
      </w:pPr>
    </w:p>
    <w:p w:rsidR="00D17D2C" w:rsidRDefault="00D17D2C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D17D2C" w:rsidRDefault="00D17D2C">
      <w:pPr>
        <w:pStyle w:val="ConsPlusTitle"/>
        <w:jc w:val="center"/>
      </w:pPr>
      <w:r>
        <w:t>"БЕЗОПАСНОСТЬ АВТОМОБИЛЬНЫХ ДОРОГ"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D2C" w:rsidRDefault="00D17D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859,</w:t>
            </w:r>
            <w:proofErr w:type="gramEnd"/>
          </w:p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18.09.2012 </w:t>
            </w:r>
            <w:hyperlink r:id="rId7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12.10.2015 </w:t>
            </w:r>
            <w:hyperlink r:id="rId8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jc w:val="center"/>
      </w:pPr>
    </w:p>
    <w:p w:rsidR="00D17D2C" w:rsidRDefault="00D17D2C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1. Принять технический </w:t>
      </w:r>
      <w:hyperlink w:anchor="P55">
        <w:r>
          <w:rPr>
            <w:color w:val="0000FF"/>
          </w:rPr>
          <w:t>регламент</w:t>
        </w:r>
      </w:hyperlink>
      <w:r>
        <w:t xml:space="preserve"> Таможенного союза "Безопасность автомобильных дорог" (</w:t>
      </w:r>
      <w:proofErr w:type="gramStart"/>
      <w:r>
        <w:t>ТР</w:t>
      </w:r>
      <w:proofErr w:type="gramEnd"/>
      <w:r>
        <w:t xml:space="preserve"> ТС 014/2011) (прилагается).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0" w:name="P17"/>
      <w:bookmarkEnd w:id="0"/>
      <w:r>
        <w:t xml:space="preserve">2. Утратил силу. - </w:t>
      </w:r>
      <w:hyperlink r:id="rId10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3. Установить: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3.1. Технический </w:t>
      </w:r>
      <w:hyperlink w:anchor="P55">
        <w:r>
          <w:rPr>
            <w:color w:val="0000FF"/>
          </w:rPr>
          <w:t>регламент</w:t>
        </w:r>
      </w:hyperlink>
      <w:r>
        <w:t xml:space="preserve"> Таможенного союза "Безопасность автомобильных дорог" (далее - Технический регламент) вступает в силу с 15 февраля 2015 года;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1" w:name="P20"/>
      <w:bookmarkEnd w:id="1"/>
      <w:r>
        <w:t xml:space="preserve">3.2. </w:t>
      </w:r>
      <w:proofErr w:type="gramStart"/>
      <w:r>
        <w:t xml:space="preserve">Документы об оценке (подтверждении) соответствия обязательным требованиям, установленным нормативными правовыми </w:t>
      </w:r>
      <w:hyperlink r:id="rId11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выданные или принятые в отношении дорожно-строительных материалов и изделий, являющихся объектами технического регулирования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 сентября 2016 года.</w:t>
      </w:r>
      <w:proofErr w:type="gramEnd"/>
      <w:r>
        <w:t xml:space="preserve">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Со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</w:t>
      </w:r>
      <w:hyperlink r:id="rId13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14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не допускается.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Переоформление проектной документации, разработанной и утвержденной до вступления в силу Технического регламента, не требуется;</w:t>
      </w:r>
    </w:p>
    <w:p w:rsidR="00D17D2C" w:rsidRDefault="00D17D2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12.10.2015 N 135)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 xml:space="preserve">До 1 сентября 2016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>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3.3.1. </w:t>
      </w:r>
      <w:proofErr w:type="gramStart"/>
      <w:r>
        <w:t xml:space="preserve">До 1 сентября 2016 года допускается производство и выпуск в обращение на таможенной территории Евразийского экономического союза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 Евразийской экономической комиссии, входящими в право Евразийского экономического союза, или законодательством государства - члена Евразийского экономического союза, без документов об обязательной оценке соответствия и без маркировки </w:t>
      </w:r>
      <w:r>
        <w:lastRenderedPageBreak/>
        <w:t>национальным</w:t>
      </w:r>
      <w:proofErr w:type="gramEnd"/>
      <w:r>
        <w:t xml:space="preserve"> знаком соответствия (знаком обращения на рынке);</w:t>
      </w:r>
    </w:p>
    <w:p w:rsidR="00D17D2C" w:rsidRDefault="00D17D2C">
      <w:pPr>
        <w:pStyle w:val="ConsPlusNormal"/>
        <w:jc w:val="both"/>
      </w:pPr>
      <w:r>
        <w:t xml:space="preserve">(пп. 3.3.1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12.10.2015 N 135)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3.3.2. До 1 сентября 2016 года допускается разработка и утверждение проектной документации на основании нормативных правовых актов государств - членов Евразийского экономического союза, принятых до вступления в силу Технического регламента;</w:t>
      </w:r>
    </w:p>
    <w:p w:rsidR="00D17D2C" w:rsidRDefault="00D17D2C">
      <w:pPr>
        <w:pStyle w:val="ConsPlusNormal"/>
        <w:jc w:val="both"/>
      </w:pPr>
      <w:r>
        <w:t xml:space="preserve">(пп. 3.3.2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12.10.2015 N 135)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0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(срока службы) продукции, установленного в соответствии с законодательством государства - члена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2" w:name="P30"/>
      <w:bookmarkEnd w:id="2"/>
      <w:r>
        <w:t xml:space="preserve">4. </w:t>
      </w:r>
      <w:proofErr w:type="gramStart"/>
      <w:r>
        <w:t>С даты вступления</w:t>
      </w:r>
      <w:proofErr w:type="gramEnd"/>
      <w:r>
        <w:t xml:space="preserve"> в силу отдельного технического регламента Таможенного союза на строительные материалы и изделия в отношении дорожно-строительных материалов </w:t>
      </w:r>
      <w:hyperlink w:anchor="P309">
        <w:r>
          <w:rPr>
            <w:color w:val="0000FF"/>
          </w:rPr>
          <w:t>пункт 14 статьи 3</w:t>
        </w:r>
      </w:hyperlink>
      <w:r>
        <w:t xml:space="preserve">, </w:t>
      </w:r>
      <w:hyperlink w:anchor="P363">
        <w:r>
          <w:rPr>
            <w:color w:val="0000FF"/>
          </w:rPr>
          <w:t>пункт 24 статьи 5</w:t>
        </w:r>
      </w:hyperlink>
      <w:r>
        <w:t xml:space="preserve">, </w:t>
      </w:r>
      <w:hyperlink w:anchor="P448">
        <w:r>
          <w:rPr>
            <w:color w:val="0000FF"/>
          </w:rPr>
          <w:t>статья 6</w:t>
        </w:r>
      </w:hyperlink>
      <w:r>
        <w:t xml:space="preserve"> и </w:t>
      </w:r>
      <w:hyperlink w:anchor="P468">
        <w:r>
          <w:rPr>
            <w:color w:val="0000FF"/>
          </w:rPr>
          <w:t>приложение 1</w:t>
        </w:r>
      </w:hyperlink>
      <w:r>
        <w:t xml:space="preserve"> к Техническому регламенту не применяются.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5.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5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6.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r>
        <w:t>6. Сторонам: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6.1. к дате вступления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5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6.2. обеспечить проведение государственного контроля (надзора) за соблюдением требований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</w:t>
      </w:r>
      <w:proofErr w:type="gramStart"/>
      <w:r>
        <w:t>с даты вступления</w:t>
      </w:r>
      <w:proofErr w:type="gramEnd"/>
      <w:r>
        <w:t xml:space="preserve"> его в силу.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7. Настоящее Решение вступает в силу через 15 дней со дня его официального опубликования, если в течение этого срока Стороны не заявят о приостановлении своего одобрения Технического </w:t>
      </w:r>
      <w:hyperlink w:anchor="P55">
        <w:r>
          <w:rPr>
            <w:color w:val="0000FF"/>
          </w:rPr>
          <w:t>регламента</w:t>
        </w:r>
      </w:hyperlink>
      <w:r>
        <w:t>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jc w:val="center"/>
      </w:pPr>
      <w:r>
        <w:t>Члены Комиссии Таможенного союза: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Cell"/>
        <w:jc w:val="both"/>
      </w:pPr>
      <w:r>
        <w:t xml:space="preserve">    От Республики</w:t>
      </w:r>
      <w:proofErr w:type="gramStart"/>
      <w:r>
        <w:t xml:space="preserve">              О</w:t>
      </w:r>
      <w:proofErr w:type="gramEnd"/>
      <w:r>
        <w:t>т Республики              От Российской</w:t>
      </w:r>
    </w:p>
    <w:p w:rsidR="00D17D2C" w:rsidRDefault="00D17D2C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:rsidR="00D17D2C" w:rsidRDefault="00D17D2C">
      <w:pPr>
        <w:pStyle w:val="ConsPlusCell"/>
        <w:jc w:val="both"/>
      </w:pPr>
      <w:r>
        <w:t xml:space="preserve">      (Подпись)                   (Подпись)                 (Подпись)</w:t>
      </w:r>
    </w:p>
    <w:p w:rsidR="00D17D2C" w:rsidRDefault="00D17D2C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Normal"/>
        <w:jc w:val="right"/>
        <w:outlineLvl w:val="0"/>
      </w:pPr>
      <w:r>
        <w:t>Утвержден</w:t>
      </w:r>
    </w:p>
    <w:p w:rsidR="00D17D2C" w:rsidRDefault="00D17D2C">
      <w:pPr>
        <w:pStyle w:val="ConsPlusNormal"/>
        <w:jc w:val="right"/>
      </w:pPr>
      <w:r>
        <w:t>Решением Комиссии Таможенного союза</w:t>
      </w:r>
    </w:p>
    <w:p w:rsidR="00D17D2C" w:rsidRDefault="00D17D2C">
      <w:pPr>
        <w:pStyle w:val="ConsPlusNormal"/>
        <w:jc w:val="right"/>
      </w:pPr>
      <w:r>
        <w:t>от 18 октября 2011 г. N 827</w:t>
      </w:r>
    </w:p>
    <w:p w:rsidR="00D17D2C" w:rsidRDefault="00D17D2C">
      <w:pPr>
        <w:pStyle w:val="ConsPlusNormal"/>
        <w:jc w:val="right"/>
      </w:pPr>
    </w:p>
    <w:p w:rsidR="00D17D2C" w:rsidRDefault="00D17D2C">
      <w:pPr>
        <w:pStyle w:val="ConsPlusTitle"/>
        <w:jc w:val="center"/>
      </w:pPr>
      <w:bookmarkStart w:id="3" w:name="P55"/>
      <w:bookmarkEnd w:id="3"/>
      <w:r>
        <w:t>ТЕХНИЧЕСКИЙ РЕГЛАМЕНТ ТАМОЖЕННОГО СОЮЗА</w:t>
      </w:r>
    </w:p>
    <w:p w:rsidR="00D17D2C" w:rsidRDefault="00D17D2C">
      <w:pPr>
        <w:pStyle w:val="ConsPlusTitle"/>
        <w:jc w:val="center"/>
      </w:pPr>
    </w:p>
    <w:p w:rsidR="00D17D2C" w:rsidRDefault="00D17D2C">
      <w:pPr>
        <w:pStyle w:val="ConsPlusTitle"/>
        <w:jc w:val="center"/>
      </w:pPr>
      <w:proofErr w:type="gramStart"/>
      <w:r>
        <w:t>ТР</w:t>
      </w:r>
      <w:proofErr w:type="gramEnd"/>
      <w:r>
        <w:t xml:space="preserve"> ТС 014/2011</w:t>
      </w:r>
    </w:p>
    <w:p w:rsidR="00D17D2C" w:rsidRDefault="00D17D2C">
      <w:pPr>
        <w:pStyle w:val="ConsPlusTitle"/>
        <w:jc w:val="center"/>
      </w:pPr>
    </w:p>
    <w:p w:rsidR="00D17D2C" w:rsidRDefault="00D17D2C">
      <w:pPr>
        <w:pStyle w:val="ConsPlusTitle"/>
        <w:jc w:val="center"/>
      </w:pPr>
      <w:r>
        <w:lastRenderedPageBreak/>
        <w:t>БЕЗОПАСНОСТЬ АВТОМОБИЛЬНЫХ ДОРОГ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jc w:val="center"/>
      </w:pPr>
    </w:p>
    <w:p w:rsidR="00D17D2C" w:rsidRDefault="00D17D2C">
      <w:pPr>
        <w:pStyle w:val="ConsPlusNormal"/>
        <w:jc w:val="center"/>
        <w:outlineLvl w:val="1"/>
      </w:pPr>
      <w:r>
        <w:t>Предисловие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Настоящий технический регламент Таможенного союза разработан на основании </w:t>
      </w:r>
      <w:hyperlink r:id="rId19">
        <w:r>
          <w:rPr>
            <w:color w:val="0000FF"/>
          </w:rPr>
          <w:t>Соглашения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 xml:space="preserve">Требования настоящего технического регламента гармонизированы с Европейским </w:t>
      </w:r>
      <w:hyperlink r:id="rId20">
        <w:r>
          <w:rPr>
            <w:color w:val="0000FF"/>
          </w:rPr>
          <w:t>Соглашением</w:t>
        </w:r>
      </w:hyperlink>
      <w:r>
        <w:t xml:space="preserve"> о международных автомагистралях (СМА) ЕЭК ООН, Женева, 15 ноября 1975 года, </w:t>
      </w:r>
      <w:hyperlink r:id="rId21">
        <w:r>
          <w:rPr>
            <w:color w:val="0000FF"/>
          </w:rPr>
          <w:t>Конвенцией</w:t>
        </w:r>
      </w:hyperlink>
      <w:r>
        <w:t xml:space="preserve"> о дорожном движении ЕЭК ООН, Вена, 8 ноября 1968 г.; </w:t>
      </w:r>
      <w:hyperlink r:id="rId22">
        <w:r>
          <w:rPr>
            <w:color w:val="0000FF"/>
          </w:rPr>
          <w:t>Конвенцией</w:t>
        </w:r>
      </w:hyperlink>
      <w:r>
        <w:t xml:space="preserve"> о дорожных знаках и сигналах ЕЭК ООН, Вена, 8 ноября 1968 г., Директивой Европейского союза 2004/54/ЕС от 29 апреля 2004, </w:t>
      </w:r>
      <w:hyperlink r:id="rId23">
        <w:r>
          <w:rPr>
            <w:color w:val="0000FF"/>
          </w:rPr>
          <w:t>Соглашением</w:t>
        </w:r>
      </w:hyperlink>
      <w:r>
        <w:t xml:space="preserve"> о массах и габаритах транспортных средств</w:t>
      </w:r>
      <w:proofErr w:type="gramEnd"/>
      <w:r>
        <w:t>, осуществляющих межгосударственные перевозки по автомобильным дорогам государств - участников Содружества Независимых Государств от 4 июня 1999 г.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  <w:outlineLvl w:val="1"/>
      </w:pPr>
      <w:r>
        <w:t>Статья 1. Область применения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1. Настоящий технический регламент принимается в целях обеспечения на стадиях проектирования, строительства, реконструкции, капитального ремонта и </w:t>
      </w:r>
      <w:proofErr w:type="gramStart"/>
      <w:r>
        <w:t>эксплуатации</w:t>
      </w:r>
      <w:proofErr w:type="gramEnd"/>
      <w:r>
        <w:t xml:space="preserve"> автомобильных дорог: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защиты жизни и (или) здоровья граждан, имущества;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охраны окружающей среды, животных и растений;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предупреждения действий, вводящих в заблуждение потребителей;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обеспечения энергетической эффективности и ресурсосбережения.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2. Настоящий технический регламент устанавливает минимально необходимые требования безопасности к автомобильным дорогам и процессам их проектирования, строительства, реконструкции, капитального ремонта и эксплуатации, а также формы и порядок оценки соответствия этим требованиям.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3. Правовой основой технического регулирования в области безопасности автомобильных дорог при проектировании, строительстве, реконструкции, капитальном ремонте и их эксплуатации являются международные договоры и законодательные акты государств - членов Таможенного союза по техническому регулированию в сфере автомобильных дорог, настоящий технический регламент.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4. Объектами технического регулирования настоящего технического регламента являются вновь строящиеся, реконструируемые, капитально ремонтируемые и эксплуатируемые автомобильные дороги общего пользования и дорожные сооружения на них, включая элементы обустройства (для объектов дорожного и придорожного сервиса регулируется только их расположение), а также связанные с ними процессы проектирования, строительства, реконструкции, капитального ремонта и </w:t>
      </w:r>
      <w:proofErr w:type="gramStart"/>
      <w:r>
        <w:t>эксплуатации</w:t>
      </w:r>
      <w:proofErr w:type="gramEnd"/>
      <w:r>
        <w:t xml:space="preserve"> автомобильных дорог и дорожных сооружений и применяемые дорожно-строительные материалы и изделия.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5. Требования настоящего технического регламента не распространяются на автомобильные дороги, не относящиеся к автомобильным дорогам общего пользования, такие, как автомобильные дороги промышленных, строительных, лесных и иных производственных предприятий, дороги, предназначенные для временного использования, дороги, расположенные в специальных зонах отчуждения и сооружаемые для нужд обороны или исключительно в спортивных целях.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Кроме того, технические требования настоящего технического регламента при проектировании (включая изыскания), строительстве, реконструкции, капитальном ремонте и эксплуатации также не распространяются на улицы населенных пунктов.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6. Автомобильная дорога визуально идентифицируется как объект, представляющий собой </w:t>
      </w:r>
      <w:r>
        <w:lastRenderedPageBreak/>
        <w:t>обустроенную или приспособленную и используемую для движения наземных транспортных средств полосу земли либо поверхность искусственного сооружения. Для применения настоящего технического регламента автомобильные дороги идентифицируются по классам и техническим категориям по следующим признакам: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по условиям доступа на них транспортных средств;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по количеству и ширине полос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по наличию центральной разделительной полосы;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по типам пересечений с другими автомобильными дорогами, железными дорогами, трамвайными путями, велосипедными и пешеходными дорожками.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Все автомобильные дороги общего пользования государств - членов Таможенного союза должны иметь наименование с указанием начального, конечного, а при необходимости и промежуточного пунктов, индекс и номер в соответствии с установленным в государствах - членах Таможенного союза порядком обозначения автомобильных дорог общего пользования, присвоения им наименования, индекса и порядкового номера с учетом их значения, класса и категории.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Наименования и идентификационные номера автомобильных дорог, входящих в состав международной транспортной сети, устанавливаются в соответствии с международными договорами.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  <w:outlineLvl w:val="1"/>
      </w:pPr>
      <w:r>
        <w:t>Статья 2. Определения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>7. В настоящем техническом регламенте Таможенного союза применяются следующие термины и их определения: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"автомобильная дорога" - комплекс конструктивных элементов, предназначенных для движения с установленными скоростями, нагрузками и габаритами автомобилей и иных наземных транспортных средств, осуществляющих перевозки пассажиров и (или) грузов, а также участки земель, предоставленные для их размещения;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"безопасность дорожного движения" - состояние дорожного движения, отражающее степень защищенности его участников от дорожно-транспортных происшествий и их последствий;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"габарит приближения" - предельное поперечное очертание свободного пространства в плоскости, перпендикулярной продольной оси проезжей части, внутрь которого не должны заходить какие-либо элементы сооружения или расположенных на них устройств;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"диагностика (оценка технического состояния) автомобильной дороги" -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"доступ на автомобильную дорогу" - предусмотренная проектной документацией возможность въезда транспортных средств на автомобильную дорогу с пересекаемых или примыкающих автомобильных дорог и съезда с нее на указанные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"дорожное движение" - процесс перемещения людей и грузов с помощью транспортных средств или без таковых в пределах автомобильных дорог;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"дорожный знак" - техническое средство организации движения с обозначениями и/или надписями, информирующими участников дорожного движения о дорожных условиях и режимах движения, расположении населенных пунктов и других объектов;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"дорожная одежда" - конструктивный элемент автомобильной дороги, воспринимающий нагрузку от транспортных средств и передающий ее на земляное полотно;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"дорожная разметка" - линии, надписи и другие обозначения на проезжей части автомобильной дороги, искусственных сооружениях и элементах обустройства дорог, информирующие участников дорожного движения об условиях и режимах движения на участке </w:t>
      </w:r>
      <w:r>
        <w:lastRenderedPageBreak/>
        <w:t>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"дорожное ограждение" - устройство, предназначенное для обеспечения движения транспорта с наименьшими рисками столкновений и съездов с дорог, предотвращения переезда через разделительную полосу, столкновения со встречным транспортным средством, наезда на массивные препятствия и сооружения, расположенные на обочине в полосе отвода дороги, на разделительной полосе, снижения риска возможности падения пешеходов с дороги или мостового сооружения, а также для упорядочения движения пешеходов и предотвращения</w:t>
      </w:r>
      <w:proofErr w:type="gramEnd"/>
      <w:r>
        <w:t xml:space="preserve"> выхода животных на проезжую часть;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"дорожный светофор" - светосигнальное устройство, применяемое для регулирования очередности пропуска транспортных средств и пешеходов;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"дорожное сооружение" - инженерное (искусственное) сооружение (мост, путепровод, эстакада, тоннель, водопропускная труба и другие) для пропуска транспортных средств, пешеходов, животных в местах пересечения автомобильной дороги с естественным или искусственным препятствием;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"жизненный цикл" - период времени, за который выполняются совокупность процессов от момента проектирования автомобильной дороги, включая строительство (возведение) и содержание, до ее утилизации (ликвидации);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"земляное полотно" - конструктивный элемент, служащий основанием для размещения дорожной одежды, а также технических средств организации дорожного движения и обустройства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"инженерные изыскания" - процесс комплексного изучения природных и техногенных условий района проектирования автомобильной дороги, сбор материалов, необходимых для принятия обоснованных проектных решений;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"интенсивность движения" - количество транспортных средств, проходящих через поперечное сечение автомобильной дороги в единицу времени (за сутки или за один час);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"исполнительная документация" - 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ремонта, по мере завершения определенных в проектной документации работ;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"капитальный ремонт автомобильной дороги"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и</w:t>
      </w:r>
      <w:proofErr w:type="gramEnd"/>
      <w:r>
        <w:t xml:space="preserve"> ее геометрические элементы;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"категория автомобильной дороги" - характеристика, определяющая технические параметры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"класс автомобильной дороги" - характеристика автомобильной дороги по условиям доступа на нее;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"конструктивный элемент" - конструкция, воспринимающая внешние и внутренние нагрузки и передающая их другим конструкциям или основанию;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"крупногабаритное транспортное средство" - транспортное средство с грузом или без груза, габариты которого по высоте, ширине или длине превышают установленные допустимые значения;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"направляющие устройства" - технические средства, предназначенные для зрительного ориентирования участников дорожного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"объекты дорожного сервиса" - здания и сооружения, расположенные в пределах полосы отвода и предназначенные для обслуживания участников дорожного движения (остановочные пункты автобусов, в том числе с павильонами, площадки для кратковременной остановки </w:t>
      </w:r>
      <w:r>
        <w:lastRenderedPageBreak/>
        <w:t>транспортных средств, площадки для отдыха со стоянками транспортных средств, устройства аварийно-вызывной связи и иные сооружения);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"объекты придорожного сервиса" - здания и сооружения, расположенные на придорожной полосе и предназначенные для обслуживания участников дорожного движения в пути следования (мотели, гостиницы, кемпинги, станции технического обслуживания, автозаправочные станции, пункты питания, торговли, связи, медицинской помощи, мойки, средства рекламы и иные сооружения);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"обочина" - элемент дороги, примыкающий непосредственно к проезжей части и предназначенный для обеспечения устойчивости земляного полотна, повышения безопасности дорожного движения, организации движения пешеходов и велосипедистов, а также использования при чрезвычайных ситуациях;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"остаточный риск" - риск, остающийся после предпринятых защитных мер;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"площадка отдыха" - элемент обустройства автомобильной дороги, предназначенный для кратковременного отдыха водителей и пассажиров, проверки состояния транспортных средств и грузов, устранения мелких неисправностей;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"полоса отвода автомобильной дороги"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"придорожная полоса автомобильной дороги" - земельные участки, которые прилегают с обеих сторон к полосе отвода автомобильной дороги и в границах которых устанавливается особый режим их использования в целях обеспечения требований безопасности дорожного движения, а также нормальных условий реконструкции, капитального ремонта и эксплуатации автомобильной дороги, ее сохранности с учетом перспектив развития автомобильной дороги;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"проектная документация" - документация, содержащая инженерно-технические, архитектурные, технологические, конструктивные, экономические, финансовые и иные решения по строительству, реконструкции, капитальному ремонту, эксплуатации автомобильных дорог и дорожных сооружений;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"приемка выполненных работ" - совокупность процедур, по определению и оценке показателей соответствия принимаемого объекта (работ) проектной документации;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"проектирование автомобильной дороги" - производственный процесс, состоящий из комплекса проектно-конструкторских работ и экономических расчетов и осуществляемый по материалам инженерных изысканий;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"проезжая часть автомобильной дороги" - конструктивный элемент автомобильной дороги, предназначенный для движения транспортных средств;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"расстояние видимости" - расстояние от передней части легкового транспортного средства, на котором с места водителя различаются конструктивные элементы дороги и другие предметы в направлении движения, ориентирование на которые позволяет вести транспортное средство по соответствующей полосе;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"разделительная полоса" - конструктивный элемент автомобильной дороги, разделяющий транспортные потоки по направлениям или составу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"реконструкция автомобильной дороги" - комплекс работ, при выполнении которых осуществляется изменение параметров автомобильной дороги, ее участков, ведущий к изменению класса и (или) категории автомобильной дороги, либо влекущей за собой изменение границы полосы отвода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"содержание автомобильной дороги" - комплекс работ по поддержанию нормативного технического состояния автомобильной дороги, а также по организации и обеспечению безопасности дорожного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"сохранность автомобильной дороги" - состояние целостности автомобильной дороги как технического сооружения и имущественного комплекса, обеспечивающее поддержание ее </w:t>
      </w:r>
      <w:r>
        <w:lastRenderedPageBreak/>
        <w:t>эксплуатационных свойств и безопасное использование;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"строительство автомобильной дороги" - комплекс технологических, инфраструктурных и управленческих процессов по сооружению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"строительный (производственный) контроль" - контроль соответствия выполняемых работ проектной документации и требованиям технических регламентов, проводимый в процессе строительства, реконструкции, капитального ремонта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"текущий ремонт автомобильной дороги"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"технические средства организации дорожного движения" - комплекс устройств, сооружений и изображений, применяемых на дорогах для обеспечения безопасности дорожного движения и повышения пропускной способности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"транспортно-эксплуатационные показатели автомобильной дороги" - комплекс фактических значений параметров технического уровня и эксплуатационного состояния дороги на момент ее обследования;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"тяжеловесное транспортное средство" - транспортное средство с грузом или без груза, общая масса которого и (или) масса, приходящаяся на одну ось, превышающее установленные допустимые значения;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"участники дорожного движения с ограниченными возможностями" - водители транспортных средств или пешеходы, испытывающие затруднения при самостоятельном передвижении, получении услуги, необходимой информации или при ориентировании в пространстве;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"эксплуатация автомобильной дороги" - комплекс мероприятий по текущему ремонту и содержанию автомобильной дороги, выполняемый в целях обеспечения ее сохранности для безопасного использования автомобильной дороги по ее прямому назначению;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"элементы обустройства" - комплекс зданий и сооружений обслуживания движения, технических средств и устройств, предназначенных для организации и обеспечения безопасности дорожного движения.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  <w:outlineLvl w:val="1"/>
      </w:pPr>
      <w:r>
        <w:t>Статья 3. Требования безопасности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8. </w:t>
      </w:r>
      <w:proofErr w:type="gramStart"/>
      <w:r>
        <w:t>Безопасность автомобильных дорог и дорожных сооружений на них, а также связанных с ними процессов проектирования (включая изыскания), строительства, реконструкции, капитального ремонта и эксплуатации обеспечивается посредством установления и соблюдения соответствующих требований безопасности проектных значений параметров, в т.ч. допустимых весовых и габаритных параметров транспортных средств, а также показателей прочности, надежности и устойчивости элементов в течение всего срока службы.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9. Настоящий технический регламент, с учетом степени риска причинения вреда, устанавливает минимально необходимые требования к автомобильным дорогам, выполнение которых достигается в процессе изысканий, проектирования, строительства, реконструкции, капитального ремонта и эксплуатации.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10. При изысканиях автомобильных дорог и сооружений на них должны соблюдаться следующие требования: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10.1. материалы о природно-климатических условиях района строительства и факторах техногенного воздействия на окружающую среду с прогнозом их изменения должны быть достоверными;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10.2. материалы топографо-геодезических, инженерно-геологических, гидрологических, экологических, а при необходимости и других видов изыскательских работ должны содержать все необходимые данные: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а) для разработки основных технических решений по конструктивным элементам автомобильной дороги и дорожных сооружений, обеспечивающих безопасность на этапах их </w:t>
      </w:r>
      <w:r>
        <w:lastRenderedPageBreak/>
        <w:t>строительства, реконструкции, капитального ремонта и эксплуатации, а также разработки мероприятий по охране окружающей среды, проекта организации строительства;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для проведения расчетов оснований, фундаментов и конструкций дорожных сооружений, отверстий мостов и труб, прочности и устойчивости земляного полотна, дорожной одежды и других конструктивных элементов, а также для разработки иных мероприятий, связанных с безопасностью автомобильной дороги на стадиях ее проектирования, строительства, реконструкции, капитального ремонта и эксплуатации;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для проектирования инженерных мероприятий по защите автомобильной дороги и потребителей транспортных услуг от воздействия опасных природных и техногенных факторов на стадиях строительства, реконструкции, капитального ремонта и эксплуатации дороги.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 При проектировании автомобильных дорог и дорожных сооружений на них должны соблюдаться следующие требования: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11.1. проектирование автомобильных дорог проводится на основании требований задания на проектирование, исходных данных, выданных заказчиком, и материалов инженерных изысканий;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11.2. при проектировании автомобильных дорог необходимо обеспечивать: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а) безопасное и бесперебойное движение транспортных средств установленных габаритных размеров и весовых параметров с разрешенными скоростями движения при существующих и прогнозируемых на установленный перспективный период интенсивности транспортных потоков с учетом существующего и прогнозируемого состава движения;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б) прочность и устойчивость конструктивных элементов автомобильной дороги и дорожных сооружений при воздействии установленных внешних и внутренних нагрузок на всех этапах их жизненного цикла;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безопасный пропуск водопропускными сооружениями паводковых вод и ледохода расчетной вероятности превышения в течение установленного жизненного цикла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оптимизацию строительных и эксплуатационных затрат в течение установленного жизненного цикла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д) соблюдение установленных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 эстетических, экономических, экологических и иных требований к объектам транспортной инфраструктуры, а также норм и правил по обеспечению сохранности памятников культурно-исторического наследия и мест захоронения погибших воинов;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соблюдение минимальных расстояний до запретных (опасных) зон и районов при взрывоопасных, пожароопасных и иных производственных объектах, а также до охранных зон объектов, расположенных рядом с проектируемой автомобильной дорогой;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ж) закономерное и плавное изменение характеристик дороги на участках достаточной протяженности, а места резкого изменения условий движения совмещать с архитектурными, рельефными и ландшафтными доминантами, населенными пунктами, транспортными развязками и иными элементами дороги или придорожной обстановки, при приближении к которым участники дорожного движения могут предвидеть эти изменения;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з) сокращение загрязнения окружающей среды, в том числе выбросов парниковых газов, за счет снижения вынужденного простоя автомобилей в заторах;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11.3. при проектировании автомобильных дорог в зонах, где невозможно исключить риски, связанные с воздействием опасных природных или техногенных процессов и явлений, необходимо: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прокладывать трассу автомобильной дороги по участкам местности, где указанные риски минимальны;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предусматривать защиту конструктивных элементов автомобильной дороги от возможных остаточных рисков воздействия указанных процессов и явлений на этапах строительства, реконструкции, капитального ремонта и эксплуатации;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lastRenderedPageBreak/>
        <w:t>в) применять материалы и конструкции, устраняющие или снижающие риск возникновения опасности при воздействии указанных процессов и явлений;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11.4. при расчетах конструктивных элементов автомобильных дорог, дорожных конструкций и оснований дорожных сооружений должны быть учтены следующие основные виды постоянных и временных нагрузок, действующие на указанные элементы, а также их основания и фундаменты: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от собственного веса конструктивных элементов автомобильной дороги и дорожных сооружений;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от транспортных средств и пешеходов;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от воздействия водного потока, в том числе волновые и ледовые нагрузки;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от воздействия ветра и атмосферных осадков;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д) от сейсмических воздействий;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от температурных воздействий;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ж) от осадок оснований и фундаментов, усадки материала конструктивных элементов;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r>
        <w:t>и) от строительно-монтажного, технологического, ремонтного и эксплуатационного оборудования;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11.5. требования безопасности к трассе автомобильной дороги: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параметры геометрических элементов плана, продольного и поперечного профиля должны назначаться исходя из расчетной скорости движения транспортных средств, принятой для данной категории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допустимый диапазон изменения расчетных скоростей, обеспечивающий безопасные условия движения, устанавливается дифференцированно для каждой категории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проектирование автомобильной дороги в плане и продольном профиле следует осуществлять как пространственную кривую, элементы которой гармонично сочетаются между собой и окружающим ландшафтом местности. При этом следует предусматривать соразмерность прямолинейных и криволинейных отрезков по их протяженности на смежных участках и всей длине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г) продольный уклон должен обеспечивать возможность безопасной реализации допустимых скоростей движения транспортных средств для соответствующих классов и </w:t>
      </w:r>
      <w:proofErr w:type="gramStart"/>
      <w:r>
        <w:t>категорий</w:t>
      </w:r>
      <w:proofErr w:type="gramEnd"/>
      <w:r>
        <w:t xml:space="preserve"> автомобильных дорог и условий движения. При необходимости применения предельных продольных уклонов в целях повышения пропускной способности дорог и безопасности дорожного движения следует предусматривать устройство дополнительных полос и аварийных съездов;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д) сочетание элементов трассы в плане и продольном профиле должны обеспечивать зрительное однозначное понимание направления автомобильной дороги на расстоянии, обеспечивающем безопасное и комфортное движение с разрешенной скоростью, своевременное информирование водителей об изменении направления движения, о приближении к местам, требующим повышенного внимания при вождении, исключать возможность возникновения зрительных иллюзий и ошибочных действий водителей;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е) параметры плана и продольного профиля должны обеспечивать видимость поверхности проезжей части и встречного автомобиля на расстояниях, не менее установленных для соответствующих категорий автомобильных дорог;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ж) кривые в плане должны обеспечивать зрительную плавность трассы и увязку ее с окружающим ландшафтом местности. Они могут иметь постоянную или переменную кривизну. Наименьшие радиусы кривых должны назначаться исходя из удобства и комфортабельности </w:t>
      </w:r>
      <w:r>
        <w:lastRenderedPageBreak/>
        <w:t>движения, а в стесненных условиях - устойчивости автомобиля при движении с расчетной скоростью по чистому и влажному дорожному покрытию. Радиусы смежных кривых в плане не должны отличаться друг от друга более чем в 1,3 раза;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11.6. автомобильная дорога должна иметь установленное количество полос движения, позволяющее обеспечить пропуск транспортного потока расчетной интенсивности с допустимым уровнем загрузки автомобильной дороги движением;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11.7. ширина полосы движения должна обеспечивать возможность безопасной реализации скорости движения, допускаемой в конкретных дорожных условиях для автомобильных дорог различного назначения, класса и категории, а также видов транспортных средств;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11.8. на дорогах всех категорий следует предусматривать устройство обочин, ширину которых следует назначать исходя из условий обеспечения: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устойчивости конструкции земляного полотна;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создания пространства, позволяющего избежать или снизить тяжесть последствия дорожно-транспортных происшествий;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реализации разрешенных скоростей движения для дорог различных классов и категорий, а также типов транспортных средств;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возможности для кратковременной остановки транспортных средств за пределами проезжей части дорог соответствующих категорий без помех для движущегося транспортного потока;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11.9. на автомобильных дорогах в зависимости от класса и категории дороги, а также на участках других автомобильных дорог, где запрещены остановки и стоянки автомобилей, должны проектироваться площадки для аварийной остановки автомобилей и иметь размеры, достаточные для размещения прогнозируемого количества автомобилей. </w:t>
      </w:r>
      <w:proofErr w:type="gramStart"/>
      <w:r>
        <w:t>Площадки должны быть оборудованы переходно-скоростными полосами, а расстояния между ними следует устанавливать в зависимости от интенсивности движения на дороге;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11.10. для обеспечения безопасности движения транспортных средств на крутых затяжных спусках вдоль полосы движения транспортных средств, идущих на спуск, должны быть предусмотрены площадки для вынужденной остановки в экстренных случаях, располагаемые через установленные интервалы;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11.11. автомобильные дороги соответствующего класса и категории с целью предупреждения выезда транспортного средства на полосу встречного движения и снижения риска лобового столкновения должны иметь разделительную полосу или проектироваться на самостоятельном для каждого направления движения земляном полотне.</w:t>
      </w:r>
      <w:proofErr w:type="gramEnd"/>
      <w:r>
        <w:t xml:space="preserve"> Минимальная ширина разделительной полосы в зависимости от класса и категории автомобильной дороги должна иметь размеры, необходимые для размещения полос безопасности и установки дорожных ограждений. При проектировании разделительной полосы должны быть обеспечены условия безопасного водоотвода с проезжей части;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11.12. поперечный уклон проезжей части и обочин автомобильной дороги должен обеспечивать сток поверхностных вод;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 xml:space="preserve">11.13. принятые в проектной документации автомобильной дороги тип и несущая способность конструкции дорожной одежды должны соответствовать требованиям безопасного и бесперебойного пропуска транспортных потоков заданной интенсивности и состава с разрешенной скоростью движения по автомобильным дорогам различных классов и категорий с учетом современных весовых параметров транспортных средств, установленных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</w:t>
      </w:r>
      <w:proofErr w:type="gramEnd"/>
      <w:r>
        <w:t xml:space="preserve"> Показатели ровности и сцепных качеств дорожных покрытий должны соответствовать требованиям безопасного движения транспортных сре</w:t>
      </w:r>
      <w:proofErr w:type="gramStart"/>
      <w:r>
        <w:t>дств с р</w:t>
      </w:r>
      <w:proofErr w:type="gramEnd"/>
      <w:r>
        <w:t>азрешенной скоростью по автомобильным дорогам различных классов и категорий;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11.14. при проектировании автомобильных дорог технические средства организации движения на автомобильной дороге должны составлять единую систему управления дорожным движением, позволяющую водителю обеспечить безопасное совершение маневра или изменение режима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lastRenderedPageBreak/>
        <w:t>11.15. при проектировании автомобильных дорог должны предусматриваться удерживающие дорожные ограждения в потенциально опасных местах возможного возникновения дорожно-транспортных происшествий: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на участках автомобильной дороги, с высокими насыпями и (или) крутыми откосами земляного полотна, а также при близком расположении проходящих вдоль железных дорог, болот, оврагов, водных потоков, горных ущелий и склонов;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на автомагистралях и скоростных дорогах, а также разделительной полосе многополосных автомобильных дорог, транспортных развязках, кривых в плане с недостаточной видимостью;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на участках, проходящих по мостам, путепроводам, эстакадам и иным специальным дорожным сооружениям;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у опор путепроводов, линий электропередач, связи, освещения, отдельных дорожных знаков индивидуального исполнения, а также иных коммуникаций и сооружений, расположенных в непосредственной близости от проезжей части;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11.16. при проектировании автомобильных дорог, проходящих через населенные пункты, должны предусматриваться пешеходные дорожки или тротуары, а при необходимости и велосипедные дорожки. Пешеходные и велосипедные дорожки должны проектироваться при необходимости и вне населенных пунктов вдоль сооружаемых или реконструируемых автомобильных дорог. При этом допускается организация совмещенного велосипедного и автомобильного движения на одной проезжей части в зависимости от разрешенной скорости, интенсивности и состава движения, а также способов разделения велосипедного и автомобильного движения и т.д.;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11.17. при проектировании вновь строящихся автомобильных дорог или при создании искусственного освещения на существующей сети автомобильных дорог искусственное освещение необходимо предусмотреть в первую очередь: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в пределах населенных пунктов;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на пересечениях магистральных автомобильных дорог между собой и с железными дорогами;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на мостах, путепроводах и эстакадах длиной более 100 м;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на постах взимания платы за проезд на платных автомобильных дорогах;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д) в тоннелях и на подходах к ним;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на подъездах к сооружениям и объектам дорожного и придорожного сервиса;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ж) у постов транспортного и весогабаритного контроля, пограничной, таможенной, санитарно-эпидемиологической, ветеринарной и дорожно-патрульной службы;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11.18. при проектировании автомобильных дорог должно быть предусмотрено устройство площадок для кратковременного отдыха водителей и пассажиров в пути;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11.19. в местах остановок общественного транспорта при проектировании автомобильных дорог должны предусматриваться посадочные площадки или павильоны;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11.20. при проектировании параметров элементов плана и продольного профиля автомобильной дороги, обеспечивающих доступ к объектам дорожного и придорожного сервиса, не должны ухудшаться дорожные условия в зоне их расположения и возникать затруднения в организации дорожного движения, снижающие безопасность потребителей транспортных услуг;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11.21. при пересечении проектируемой автомобильной дороги с подземными инженерными коммуникациями должны быть предусмотрены меры, обеспечивающие сохранность этих коммуникаций под воздействием нагрузок, вызванных автомобильной дорогой, а также соблюдение размеров охранных зон, установленных для этих коммуникаций;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11.22. при проектировании следует предусматривать равную с остальными категориями населения возможность доступности всех видов услуг, предоставляемых автомобильными </w:t>
      </w:r>
      <w:r>
        <w:lastRenderedPageBreak/>
        <w:t>дорогами для всех категорий участников дорожного движения с ограниченными возможностями;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11.23. при проектировании новых и реконструкции существующих мостов следует принимать проектные решения, обеспечивающие: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надежность, долговечность и бесперебойность эксплуатации сооружений при движении транспортных средств, габаритные размеры и весовые параметры которых соответствуют требованиям, установленным государствами - членами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безопасность движения транспортных средств и пешеходов в период эксплуатации, а также строительных машин, механизмов, оборудования, безопасность и охрану труда рабочих в периоды строительства, реконструкции и капитального ремонта;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безопасный пропуск расходов и уровней воды расчетной вероятности превышения, расчетного ледохода, а на судоходных или сплавных реках соответствующего класса - требования безопасного судоходства и сплава;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охрану окружающей среды и поддержание ее экологического равновесия;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11.24. проектирование путепроводов на автомобильных дорогах следует осуществлять в соответствии с перспективной интенсивностью движения в данном узле дорог, а также габаритными размерами по ширине и высоте, весовыми параметрами транспортных средств, установленными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союза, классом и категорией пересекающихся или примыкающих дорог;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11.25. при проектировании мостов и путепроводов необходимо обеспечить: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соответствие поперечного профиля проезжей части на искусственном сооружении и на подходах к ним по ширине и количеству полос движения, а также характеристикам краевых или укрепленных полос на обочинах;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устройство виража и уширения проезжей части при расположении искусственных сооружений на кривых в плане малых радиусов;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безопасное расстояние от кромки проезжей части до ближайшей грани опоры путепроводов для автомобильных дорог различных классов и категорий, а также конструкций опор путепроводов;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при установке металлических ограждений расстояние от них до ближайшей грани опоры, необходимое для обеспечения прогиба ограждения при наезде на него автомобиля;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11.26. при проектировании тоннелей необходимо предусматривать соблюдение следующих требований безопасности: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тоннели длиной более 1000 м при отсутствии остановочных полос должны иметь местные уширения с площадками для аварийной остановки транспортных средств. При двустороннем движении площадки должны быть с каждой стороны тоннеля;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в тоннелях протяженностью более 1500 м при расчетной интенсивности более 2000 автомобилей в сутки на одну полосу движения необходимо устраивать аварийные выходы;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в тоннелях, не имеющих аварийных выходов, предусматривать тротуары или проходы, предназначенные для использования участниками дорожного движения в чрезвычайных ситуациях;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тоннели с раздельными стволами должны быть соединены друг с другом расположенными на одинаковом расстоянии поперечными стволами, предназначенными для прохода пешеходов и проезда машин и механизмов аварийно-спасательных служб;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д) предусматривать в тоннелях длиной более 1500 м у их порталов, а также внутри тоннеля специализированные помещения с санитарно-бытовыми устройствами для нужд служб эксплуатации и охраны, оборудованные средствами первой медицинской помощи, экстренной связи и пожаротушения и подачи технической воды;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местоположения устройств и сре</w:t>
      </w:r>
      <w:proofErr w:type="gramStart"/>
      <w:r>
        <w:t>дств дл</w:t>
      </w:r>
      <w:proofErr w:type="gramEnd"/>
      <w:r>
        <w:t xml:space="preserve">я обеспечения безопасности пользователей </w:t>
      </w:r>
      <w:r>
        <w:lastRenderedPageBreak/>
        <w:t>тоннелей должны быть обозначены соответствующими знаками безопасности. Направления движения к аварийным выходам, спасательным пунктам, аппаратам экстренной связи должны быть обозначены видимыми надписями и символами. При необходимости, знаки безопасности могут содержать иную информацию, необходимую для использования в чрезвычайных ситуациях;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ж) оборудовать тоннели с высокой интенсивностью движения автоматизированными системами управления транспортными потоками для предотвращения заторов дорожного движения, в том числе при возникновении дорожно-транспортных происшествий и иных чрезвычайных ситуаций;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з) предусматривать перед въездом в тоннель и после выезда из него, а также в тоннелях с двумя и более стволами разрыв в дорожном ограждении для проезда машин и механизмов аварийно-спасательных служб;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11.27. при проектировании автомобильных дорог необходимо предусматривать размещение стационарных пунктов габаритного и весового контроля и площадок передвижных пунктов весового контроля, а также специализированных стоянок для хранения задержанных транспортных средств до устранения причин задержания;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11.28. мосты, путепроводы, тоннели и иные дорожные сооружения на автомобильных дорогах могут быть оборудованы специализированными системами инженерной защиты от несанкционированного доступа в вышеуказанные сооружения, обнаружения и извещения о пожаре, противодымной защиты и автоматизированного пожаротушения.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12. При строительстве, реконструкции и капитальном ремонте (далее - строительстве) автомобильных дорог и сооружений на них должны соблюдаться следующие требования: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строительство автомобильной дороги должно осуществляться в строгом соответствии с проектной документацией на землях, отведенных под эти цели уполномоченными органами по землепользованию на всех этапах жизненного цикла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применяемые при строительстве автомобильной дороги материалы и изделия должны обеспечивать выполнение дорожно-строительных работ в соответствии с проектной документацией;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в) по завершении строительных работ автомобильная дорога в пределах полосы постоянного отвода земель должна быть освобождена от дорожно-строительной техники, временных сооружений, остатков строительных материалов и изделий, временных дорожных знаков и указателей, а также иных предметов и инвентаря, а земли, отведенные во временное пользование на период строительства объекта, должны быть приведены в состояние, пригодное для их использования по первоначальному назначению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земельным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 К требованиям безопасности к автомобильным дорогам и дорожным сооружениям на них при их эксплуатации относятся следующие: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13.1. мероприятия по эксплуатации должны быть направлены на создание безопасных условий перевозки грузов и пассажиров по автомобильным дорогам в течение установленного срока их службы путем: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обеспечения сохранности автомобильных дорог и дорожных сооружений на них при воздействии транспортных, эксплуатационных, природно-климатических, чрезвычайных и других факторов в течение их жизненного цикла;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организации дорожного движения с использованием комплекса технических средств;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проведения работ по поддержанию эксплуатационного состояния проезжей части, соответствующего безопасному и бесперебойному дорожному движению;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своевременного устранения или снижения риска возникновения дорожно-транспортных происшествий и ограничений движения в зависимости от эксплуатационного состояния автомобильной дороги;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д) своевременного информирования участников дорожного движения об изменениях в организации движения, в том числе связанных с проведением дорожных работ, сезонными </w:t>
      </w:r>
      <w:r>
        <w:lastRenderedPageBreak/>
        <w:t>ограничениями движения, стихийными бедствиями, техногенными катастрофами и авариями или другими обстоятельствами;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е) обеспечения доступности информации о допустимых весовых и габаритных параметров транспортных средств, а также возможных остаточных рисках ухудшения эксплуатационного состояния автомобильной дороги и возникновении угрозы безопасности на отдельных ее участках для потребителей транспортных услуг и третьих лиц;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ж) защиты участков автомобильных дорог от снежных или песчаных заносов, предупреждения образования на покрытии снежной корки и гололеда, облегчения уборки снежно-ледяных отложений и ликвидации зимней скользкости дорожных покрытий с применением противогололедных материалов;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з) введения допустимых весовых и габаритных параметров транспортных сре</w:t>
      </w:r>
      <w:proofErr w:type="gramStart"/>
      <w:r>
        <w:t>дств дл</w:t>
      </w:r>
      <w:proofErr w:type="gramEnd"/>
      <w:r>
        <w:t>я обеспечения сохранности эксплуатируемых автомобильных дорог и дорожных сооружений на них;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и) введения временных ограничений движения в целях обеспечения безопасности движения при опасных природных явлениях или угрозе их возникновения, при аварийных ситуациях на дорогах, при проведении дорожных и аварийно-восстановительных работ, в случае выявления дефектов и </w:t>
      </w:r>
      <w:proofErr w:type="gramStart"/>
      <w:r>
        <w:t>повреждений</w:t>
      </w:r>
      <w:proofErr w:type="gramEnd"/>
      <w:r>
        <w:t xml:space="preserve"> автомобильных дорог и дорожных сооружений, создающих угрозу безопасности дорожного движения, а также в целях обеспечения сохранности автомобильных дорог в период возникновения неблагоприятных природно-климатических условий, вызывающих снижение несущей способности конструктивных элементов автомобильной дороги, ее участков и образование дефектов дорожной одежды;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13.2. автомобильная дорога и дорожные сооружения на ней при эксплуатации должны соответствовать следующим требованиям безопасности: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4" w:name="P254"/>
      <w:bookmarkEnd w:id="4"/>
      <w:r>
        <w:t>а) 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</w:t>
      </w:r>
      <w:proofErr w:type="gramStart"/>
      <w:r>
        <w:t>дств с р</w:t>
      </w:r>
      <w:proofErr w:type="gramEnd"/>
      <w:r>
        <w:t>азрешенной скоростью и представляющие опасность для потребителей транспортных услуг или третьих лиц.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Предельно допустимые значения повреждений и сроки ликвидации факторов, затрудняющих движение транспортных сре</w:t>
      </w:r>
      <w:proofErr w:type="gramStart"/>
      <w:r>
        <w:t>дств с р</w:t>
      </w:r>
      <w:proofErr w:type="gramEnd"/>
      <w:r>
        <w:t>азрешенной скоростью,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Водоотвод с проезжей части должен находиться в состоянии, исключающем застой воды на покрытии и обочинах;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б) 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требованиям.</w:t>
      </w:r>
      <w:proofErr w:type="gramEnd"/>
      <w:r>
        <w:t xml:space="preserve"> Сроки выполнения работ по улучшению сцепных качеств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в)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движения. </w:t>
      </w:r>
      <w:proofErr w:type="gramStart"/>
      <w:r>
        <w:t>Требования к ровности покрытий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г) возвышение обочины и разделительной полосы над уровнем проезжей части при </w:t>
      </w:r>
      <w:r>
        <w:lastRenderedPageBreak/>
        <w:t xml:space="preserve">отсутствии бордюра не допускается. </w:t>
      </w:r>
      <w:proofErr w:type="gramStart"/>
      <w:r>
        <w:t>Обочины и разделительные полосы, не отделенные от проезжей части бордюром, не должны быть ниже уровня прилегающей кромки проезжей части более чем на 4 см;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 xml:space="preserve">д) обочины не должны иметь деформаций, повреждений, указанных в </w:t>
      </w:r>
      <w:hyperlink w:anchor="P254">
        <w:r>
          <w:rPr>
            <w:color w:val="0000FF"/>
          </w:rPr>
          <w:t>пункте 13.2 подпункта а</w:t>
        </w:r>
      </w:hyperlink>
      <w:r>
        <w:t>) настоящей статьи для дорожных покрытий.</w:t>
      </w:r>
      <w:proofErr w:type="gramEnd"/>
      <w:r>
        <w:t xml:space="preserve"> До устранения дефектов обочин должны быть установлены соответствующие временные дорожные знаки или другие технические средства организации дорожного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не допускается уменьшение фактического расстояния видимости на автомобильной дороге соответствующих классов и категорий ниже минимально требуемого в результате выполняемых эксплуатационных действий или отсутствия таковых;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13.3. мосты, путепроводы и иные дорожные сооружения в течение срока их службы должны сохранять предусмотренное проектной документацией положение в пространстве, а их техническое состояние должно обеспечивать безопасную эксплуатацию сооружения, а также механическое сопротивление всего сооружения в целом и отдельных его частей расчетным нагрузкам и воздействиям. Техническое состояние несущих элементов пролетного строения сооружения должно обеспечивать проектную величину грузоподъемности. Состояние подмостового пространства должно обеспечивать безопасный пропуск высоких вод установленной вероятности превышения расчетного паводка и ледохода;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13.4. при эксплуатации тоннелей необходимо соблюдать следующие требования: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своевременную ликвидацию повреждений тоннельной обделки (стен тоннеля), создающих угрозу его безопасной эксплуатации;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поддержание в работоспособном состоянии электроосвещения, связи и громкоговорящего оповещения, автоматизированных систем, обеспечивающих организацию и безопасность дорожного движения, а также систем управления комплексом инженерной защиты от несанкционированного доступа в притоннельные сооружения, обнаружения и извещения о пожаре, противодымной защиты и автоматизированного пожаротушения;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своевременное оповещение потребителей транспортных услуг и немедленное закрытие тоннеля при угрозе возникновении в нем чрезвычайной ситуации;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13.5. технические средства организации дорожного движения должны соответствовать следующим требованиям безопасности: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дорожные знаки.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Дорожные знаки должны обладать заданными характеристиками, установленными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союза, обеспечивающими их видимость.</w:t>
      </w:r>
      <w:proofErr w:type="gramEnd"/>
      <w:r>
        <w:t xml:space="preserve"> Местоположение соответствующих дорожных знаков должно обеспечивать своевременное информирование водителей транспортных средств и пешеходов об изменении дорожных условий и допустимых режимах движения. Установка дорожных знаков, за исключением временных, не должна приводить к уменьшению габаритов приближения автомобильных дорог и дорожных сооружений на них. Установку отсутствующих и замену поврежденных дорожных знаков следует осуществлять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дорожная разметка.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Дорожная разметка должна быть различима в любых условиях эксплуатации, 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Дорожная разметка должна быть восстановлена в случае, если ее износ или разрушение не </w:t>
      </w:r>
      <w:r>
        <w:lastRenderedPageBreak/>
        <w:t>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дорожные светофоры.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Дорожные светофоры должны быть размещены таким образом, чтобы они легко воспринимались участниками дорожного движения в различных погодных и световых условиях, не были закрыты какими-либо препятствиями, обеспечивали удобство обслуживания и уменьшали вероятность их повреждения.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Минимальная видимость сигналов дорожных светофоров, включая символы, используемые на рассеивателях сигналов, должна обеспечивать водителям транспортных средств возможность безопасного совершения маневра или </w:t>
      </w:r>
      <w:proofErr w:type="gramStart"/>
      <w:r>
        <w:t>остановки</w:t>
      </w:r>
      <w:proofErr w:type="gramEnd"/>
      <w:r>
        <w:t xml:space="preserve"> как в светлое, так и в темное время суток. Элементы дорожного светофора и его крепления не должны иметь повреждений, влияющих на видимость сигналов.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Замену вышедшего из строя источника света дорожного светофора, а также ликвидацию повреждений электромонтажной схемы в корпусе дорожного светофора или электрического кабеля после его обнаружения дорожно-эксплуатационной службой и документального оформления, следует осуществлять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</w:t>
      </w:r>
      <w:proofErr w:type="gramEnd"/>
      <w:r>
        <w:t xml:space="preserve"> требований принятого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направляющие устройства.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Минимальная видимость дорожных сигнальных столбиков и тумб должна обеспечивать водителям транспортных средств возможность безопасного движения с разрешенной правилами дорожного движения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Поврежденные дорожные сигнальные столбики и дорожные тумбы после обнаружения повреждения дорожно-эксплуатационной службой и документального оформления должны быть заменены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д) системы сигнализации на железнодорожных переездах.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Системы сигнализации на железнодорожных переездах должны обеспечивать восприятие их органами зрения и слуха участников дорожного движения при штатных условиях эксплуатации автомобильной дороги.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Видимость сигналов на железнодорожных переездах должна обеспечивать водителям транспортных средств возможность их безопасного проезда с разрешенной правилами дорожного движения скоростью. Системы сигнализации на железнодорожных переездах не должны иметь повреждений, влияющих на их зрительное и слуховое восприятие;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е) временные технические средства организации дорожного движения.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Технические средства организации дорожного движения, применение которых вызвано причинами временного характера (дорожно-строительные работы, организация ограничения или прекращения движения транспорта в установленном порядке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движения), должны быть своевременно установлены (устроены) и использованы лишь в периоды действия</w:t>
      </w:r>
      <w:proofErr w:type="gramEnd"/>
      <w:r>
        <w:t xml:space="preserve"> ограничивающих факторов.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Для лучшего восприятия водителями временных дорожных знаков на одной опоре должно быть установлено не более двух знаков и одного знака дополнительной информации (таблички).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Временные дорожные знаки и дорожные светофоры, действие которых носит периодический </w:t>
      </w:r>
      <w:r>
        <w:lastRenderedPageBreak/>
        <w:t>характер, на время, когда их применение не требуется, должны быть закрыты чехлами. После устранения причин, вызвавших необходимость применения временных технических сре</w:t>
      </w:r>
      <w:proofErr w:type="gramStart"/>
      <w:r>
        <w:t>дств пр</w:t>
      </w:r>
      <w:proofErr w:type="gramEnd"/>
      <w:r>
        <w:t>и организации дорожного движения, они должны быть демонтированы;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13.6. ограждения на автомобильных дорогах.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Поврежденные ограждения на автомобильных дорогах после их обнаружения дорожно-эксплуатационной службой и документального оформления должны быть восстановлены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13.7. горизонтальная освещенность от искусственного освещения.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Горизонтальная освещенность при искусственном освещении покрытия проезжей части автомобильных дорог различных классов и категорий должна обеспечивать безопасные условия движения с разрешенной правилами дорожного движения скоростью.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Замену вышедшего из строя источника света искусственного освещения после его обнаружения дорожно-эксплуатационной службой и документального оформления следует осуществить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13.8. средства наружной рекламы.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 полосе отвода автомобильной дороги не допускается размещение рекламной или иной информации, не имеющей непосредственного отношения к организации движения, если иное не предусмотрено законодательством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С целью </w:t>
      </w:r>
      <w:proofErr w:type="gramStart"/>
      <w:r>
        <w:t>обеспечения безопасности дорожного движения средства наружной рекламы</w:t>
      </w:r>
      <w:proofErr w:type="gramEnd"/>
      <w:r>
        <w:t xml:space="preserve"> не должны: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размещаться на дорожном знаке, его опоре или на любом другом приспособлении, предназначенном для регулирования движения;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ухудшать видимость средств регулирования дорожного движения или снижать их эффективность;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пешехода, животных или иного объекта;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иметь яркость элементов изображения при внутреннем и внешнем освещении выше фотометрических характеристик дорожных знаков;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освещаться в темное время суток на участках дорог, где дорожные знаки не имеют искусственного освещения;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размещаться в зоне транспортных развязок, пересечений и </w:t>
      </w:r>
      <w:proofErr w:type="gramStart"/>
      <w:r>
        <w:t>примыканий</w:t>
      </w:r>
      <w:proofErr w:type="gramEnd"/>
      <w:r>
        <w:t xml:space="preserve"> автомобильных дорог, железнодорожных переездов и искусственных сооружений ближе расчетного расстояния видимости от них;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13.9. очистка покрытия автомобильной дороги от снега должна осуществляться с проезжей части, остановок общественного наземного транспорта, тротуаров, обочин, съездов, площадок для стоянки и остановки транспортных средств.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мм. На снежном накате не допускается наличие колеи глубиной более 30 мм и отдельных гребней возвышений, занижений и выбоин высотой или глубиной более 40 мм.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lastRenderedPageBreak/>
        <w:t>Сроки ликвидации зимней скользкости и окончания снегоочистки для автомобильных дорог в зависимости от их значения, класса и категории, а также интенсивности и состава движения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союза.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На лавиноопасных участках горных автомобильных дорог должны быть предприняты меры по своевременному предупреждению и ликвидации лавинной опасности, а также устройству необходимых противолавинных сооружений;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13.10. движение по автомобильным дорогам крупногабаритных и тяжеловесных транспортных средств допускается только при наличии специальных разрешений, выданных уполномоченными органами государств - членов Таможенного союза.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</w:t>
            </w:r>
            <w:proofErr w:type="gramStart"/>
            <w:r>
              <w:rPr>
                <w:color w:val="392C69"/>
              </w:rPr>
              <w:t>с даты вступления</w:t>
            </w:r>
            <w:proofErr w:type="gramEnd"/>
            <w:r>
              <w:rPr>
                <w:color w:val="392C69"/>
              </w:rPr>
              <w:t xml:space="preserve"> в силу отдельного технического регламента Таможенного союза на строительные материалы и изделия в отношении дорожно-строительных материалов пункт 14 статьи 3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bookmarkStart w:id="5" w:name="P309"/>
      <w:bookmarkEnd w:id="5"/>
      <w:r>
        <w:t>14. К общим требованиям по безопасности дорожно-строительных материалов и изделий, применяемых при строительстве, реконструкции, капитальном ремонте и эксплуатации, относится следующее: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14.1. дорожно-строительные материалы и изделия, производимые и импортируемые в государствах - членах Таможенного союза, не должны создавать угрозу возникновения опасности для потребителей транспортных услуг и третьих лиц, окружающей среды, растительного и животного мира на всех этапах их жизненного цикла;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14.2. производство, транспортирование, хранение и применение дорожно-строительных материалов и изделий должны обеспечивать надежность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нагрузок, климатических и иных факторов в условиях, исключающих следующие последствия: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разрушение автомобильной дороги или сооружений, или их участков (частей);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б) необратимые деформации дорожных конструкций;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недопустимое снижение основных транспортно-эксплуатационных характеристик автомобильной дороги или сооружений на ней;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14.3. дорожно-строительные материалы и изделия в течение всего срока службы автомобильной дороги и дорожных сооружений на них должны быть устойчивыми к воздействию транспортных, природных и иных факторов;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14.4. безопасность дорожно-строительных материалов и изделий обеспечивается путем соблюдения следующих основных требований на всех этапах их жизненного цикла: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суммарная эффективная удельная активность естественных радионуклидов не должна превышать допустимых пределов, установленных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б) предельная концентрация вредных химических веществ при производстве, хранении, транспортировании, применении дорожно-строительных материалов и изделий, проведении дорожных работ, а также в результате их совместного воздействия на окружающую среду в процессе эксплуатации автомобильной дороги не должна превышать допустимых значений, установленных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</w:t>
      </w:r>
      <w:proofErr w:type="gramEnd"/>
      <w:r>
        <w:t xml:space="preserve"> на добровольной основе обеспечивается соблюдение требований принятого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lastRenderedPageBreak/>
        <w:t>в) физико-химические свойства дорожно-строительных материалов и изделий не должны создавать угрозу возникновения взрыва и (или) развития пожара;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физико-механические свойства дорожно-строительных материалов должны обеспечивать расчетную устойчивость конструктивных элементов автомобильной дороги при совместном воздействии транспортной нагрузки и природных факторов;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14.5. строительство, реконструкция, капитальный ремонт и эксплуатация автомобильных дорог и дорожных сооружений на них должны осуществляться с применением дорожно-строительных материалов и изделий, соответствующих требованиям настоящего технического регламента и проектной документации.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  <w:outlineLvl w:val="1"/>
      </w:pPr>
      <w:r>
        <w:t>Статья 4. Презумпция соответствия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15. </w:t>
      </w:r>
      <w:proofErr w:type="gramStart"/>
      <w:r>
        <w:t>Соответствие автомобильных дорог и дорожных сооружений на них настоящему техническому регламенту обеспечивается выполнением его требований к безопасности непосредственно либо выполнением требований международных и региональных стандартов, а в случае их отсутствия - национальных (государственных) стандартов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 и необходимых для осуществления оценки (подтверждения) соответствия.</w:t>
      </w:r>
      <w:proofErr w:type="gramEnd"/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  <w:outlineLvl w:val="1"/>
      </w:pPr>
      <w:r>
        <w:t>Статья 5. Оценка соответствия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>16. Оценка соответствия автомобильных дорог на всех этапах их жизненного цикла требованиям настоящего технического регламента осуществляется в следующем порядке: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а) при инженерных изысканиях и разработке проектной документации автомобильных дорог - в форме экспертизы;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б) при строительстве, реконструкции и капитальном ремонте автомобильных дорог - в формах строительного (производственного) </w:t>
      </w:r>
      <w:proofErr w:type="gramStart"/>
      <w:r>
        <w:t>контроля за</w:t>
      </w:r>
      <w:proofErr w:type="gramEnd"/>
      <w:r>
        <w:t xml:space="preserve"> выполнением работ, промежуточной приемки выполненных дорожно-строительных работ и (или) конструктивных элементов, приемки и ввода в эксплуатацию законченных объектов или их отдельных участков;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в) при эксплуатации автомобильных дорог, дорожных сооружений на них и элементов обустройства - в формах текущего контроля состояния автомобильной дороги и дорожных сооружений на ней и элементов обустройства, а также приемки выполненных работ по их ремонту и содержанию;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г) для дорожно-строительных материалов и изделий - в формах испытания (входной контроль) и подтверждения соответствия требованиям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Порядок и процедура осуществления оценки соответствия проводится до принятия соответствующего решения Комиссии Таможенного союза, в соответствии с законодательством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Порядок и процедура осуществления подтверждения соответствия для дорожно-строительных материалов и изделий проводится в соответствии с </w:t>
      </w:r>
      <w:hyperlink w:anchor="P363">
        <w:r>
          <w:rPr>
            <w:color w:val="0000FF"/>
          </w:rPr>
          <w:t>п. 24</w:t>
        </w:r>
      </w:hyperlink>
      <w:r>
        <w:t xml:space="preserve"> настоящего технического регламента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17. Экспертиза результатов инженерных изысканий.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Заключение экспертизы должно содержать выводы о соответствии материалов инженерных изысканий требованиям задания на проектирование и программы изысканий, характеристику полноты и достоверности результатов инженерных изысканий, а также возможности принятия на их основе проектных решений, устраняющих или снижающих риски возникновения опасности для субъектов дорожного движения и окружающей среды в соответствии с требованиями настоящего технического регламента.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18. Экспертиза проектной документации.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Законченная разработкой проектная документация на строительство автомобильной дороги подлежит экспертизе для определения ее соответствия заданию на проектирование, требованиям </w:t>
      </w:r>
      <w:r>
        <w:lastRenderedPageBreak/>
        <w:t>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Проектная документация до ее утверждения рассматривается заказчиком.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Утвержденная проектная или иная техническая документация свидетельствует о ее соответствии требованиям настоящего технического регламента по обеспечению безопасности объектов технического регулирования на этапах их проектирования, строительства, реконструкции, капитального ремонта и эксплуатации автомобильной дороги.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19. Строительный (производственный) контроль (далее - строительный) за выполнением работ по строительству реконструкции и капитальному ремонту автомобильных дорог и сооружений на них.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Для осуществления строительного контроля заказчик может привлекать независимые и компетентные организации.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Строительный контроль проводится заказчиком, а также юридическим лицом, осуществляющим строительство (подрядчиком).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По результатам проведения строительного контроля составляются соответствующие акты освидетельствования отдельных видов работ и (или) конструкций.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При проведении строительного контроля проводятся необходимые исследования, испытания и измерения с применением соответствующих методов и средств измерений. Средства измерений, а также методы, используемые для строительного контроля, должны соответствовать требованиям, установленным законодательствами государств - членов Таможенного союза в области обеспечения единства измерений.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Результаты строительного контроля должны документироваться и сохраняться после приемки автомобильной дороги или ее участка в эксплуатацию в течение срока, установленного </w:t>
      </w:r>
      <w:hyperlink r:id="rId28">
        <w:r>
          <w:rPr>
            <w:color w:val="0000FF"/>
          </w:rPr>
          <w:t>законодательствами</w:t>
        </w:r>
      </w:hyperlink>
      <w:r>
        <w:t xml:space="preserve">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20. Промежуточная приемка выполненных дорожно-строительных работ и (или) конструктивных элементов.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Промежуточная приемка выполненных дорожно-строительных работ производится с целью определения соответствия выполненных дорожно-строительных работ утвержденной проектной документации и требованиям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По результатам проведения промежуточной приемки выполненных дорожно-строительных работ и (или) конструктивных элементов составляется и подписывается акт с решением о приемке объекта оценки или о необходимых доработках для устранения выявленных недостатков.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Перечни конкретных видов работ, относящихся к той или иной промежуточной приемке выполненных работ, должны быть определены проектной документацией и разработаны подрядчиком в составе исполнительной документации и согласованы с заказчиком.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До проведения промежуточной приемки выполненных дорожно-строительных работ и (или) конструктивных элементов выполнение последующих работ на этом участке автомобильной дороги запрещается.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21. Приемка и ввод в эксплуатацию законченных строительством (реконструированных, капитально отремонтированных) автомобильных дорог и сооружений на них.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Приемке в эксплуатацию подлежат законченные строительством, реконструкцией и капитальным ремонтом автомобильные дороги или их участки, имеющие самостоятельное транспортное значение, при условии их соответствия утвержденной в установленном порядке проектной документации, а также требованиям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На построенных (реконструированных) автомобильных дорогах до их принятия приемочными комиссиями в эксплуатацию движение наземных транспортных средств общего пользования должно быть запрещено или ограничено соответствующими техническими средствами организации дорожного движения.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Утвержденный акт приемки объекта в эксплуатацию является доказательством соответствия </w:t>
      </w:r>
      <w:r>
        <w:lastRenderedPageBreak/>
        <w:t>принимаемого объекта требованиям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22. Текущий контроль состояния автомобильной дороги и сооружений на ней.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Текущий контроль состояния автомобильной дороги и сооружений на ней осуществляется заказчиком путем периодических осмотров, а также диагностики автомобильных дорог с выявлением и учетом имеющихся дефектов конструктивных элементов автомобильных дорог, оценкой качества их содержания и эксплуатационного состояния, в порядке, установленном международными и региональными стандартами, а в случае их отсутствия - национальными (государственными) стандартами государств - членов Таможенного союза, в результате применения которых на</w:t>
      </w:r>
      <w:proofErr w:type="gramEnd"/>
      <w:r>
        <w:t xml:space="preserve"> добровольной основе обеспечивается соблюдение требований настоящего технического регламента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23. Приемка выполненных работ по ремонту и содержанию автомобильной дороги и сооружений на ней производится путем оценки уровня их содержания.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По результатам текущего контроля состояния автомобильной дороги и сооружений на ней принимается решение о приемке объекта оценки или о необходимых доработках для устранения выявленных недостатков. По результатам проведения приемки работ по ремонту и содержанию автомобильной дороги и сооружений на ней составляется соответствующий акт.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</w:t>
            </w:r>
            <w:proofErr w:type="gramStart"/>
            <w:r>
              <w:rPr>
                <w:color w:val="392C69"/>
              </w:rPr>
              <w:t>с даты вступления</w:t>
            </w:r>
            <w:proofErr w:type="gramEnd"/>
            <w:r>
              <w:rPr>
                <w:color w:val="392C69"/>
              </w:rPr>
              <w:t xml:space="preserve"> в силу отдельного технического регламента Таможенного союза на строительные материалы и изделия в отношении дорожно-строительных материалов пункт 24 статьи 5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bookmarkStart w:id="6" w:name="P363"/>
      <w:bookmarkEnd w:id="6"/>
      <w:r>
        <w:t>24. Подтверждение соответствия дорожно-строительных материалов и изделий осуществляется в соответствии с унифицированными процедурами, утвержденными Комиссией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24.1. дорожно-строительные материалы и изделия, поступающие для строительства, реконструкции, капитального ремонта и </w:t>
      </w:r>
      <w:proofErr w:type="gramStart"/>
      <w:r>
        <w:t>эксплуатации</w:t>
      </w:r>
      <w:proofErr w:type="gramEnd"/>
      <w:r>
        <w:t xml:space="preserve"> автомобильных дорог, подлежат входному контролю, в установленном законодательством государств - членов Таможенного союза порядке, путем проведения их испытаний на соответствие требованиям проектной документации и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Подрядчик несет ответственность за качество поступающих на объект материалов и изделий. Подрядчик имеет право провести полный перечень испытаний поступающих материалов и изделий на соответствие требованиям проектной документации. Заказчик проводит выборочные испытания поступающих материалов и изделий на соответствие требованиям проектной документации.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Перед выпуском в обращение на рынке дорожно-строительные материалы и изделия должны пройти подтверждение соответствия требованиям безопасности настоящего технического регламента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Подтверждение соответствия дорожно-строительных материалов и изделий осуществляется по схемам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 порядке применения типовых схем оценки (подтверждения) соответствия в технических регламентах Таможенного союза, утвержденным Комиссией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7" w:name="P368"/>
      <w:bookmarkEnd w:id="7"/>
      <w:r>
        <w:t xml:space="preserve">24.2. дорожно-строительные материалы, включенные в Перечень, приведенный в </w:t>
      </w:r>
      <w:hyperlink w:anchor="P468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подлежат подтверждению соответствия в форме декларирования соответствия (</w:t>
      </w:r>
      <w:hyperlink r:id="rId30">
        <w:r>
          <w:rPr>
            <w:color w:val="0000FF"/>
          </w:rPr>
          <w:t>схема 1д</w:t>
        </w:r>
      </w:hyperlink>
      <w:r>
        <w:t xml:space="preserve">, </w:t>
      </w:r>
      <w:hyperlink r:id="rId31">
        <w:r>
          <w:rPr>
            <w:color w:val="0000FF"/>
          </w:rPr>
          <w:t>3д</w:t>
        </w:r>
      </w:hyperlink>
      <w:r>
        <w:t xml:space="preserve">, </w:t>
      </w:r>
      <w:hyperlink r:id="rId32">
        <w:r>
          <w:rPr>
            <w:color w:val="0000FF"/>
          </w:rPr>
          <w:t>4д</w:t>
        </w:r>
      </w:hyperlink>
      <w:r>
        <w:t xml:space="preserve">). </w:t>
      </w:r>
      <w:hyperlink r:id="rId33">
        <w:r>
          <w:rPr>
            <w:color w:val="0000FF"/>
          </w:rPr>
          <w:t>Схема 1д</w:t>
        </w:r>
      </w:hyperlink>
      <w:r>
        <w:t xml:space="preserve"> и </w:t>
      </w:r>
      <w:hyperlink r:id="rId34">
        <w:r>
          <w:rPr>
            <w:color w:val="0000FF"/>
          </w:rPr>
          <w:t>3д</w:t>
        </w:r>
      </w:hyperlink>
      <w:r>
        <w:t xml:space="preserve"> - для серийно выпускаемой продукции, </w:t>
      </w:r>
      <w:hyperlink r:id="rId35">
        <w:r>
          <w:rPr>
            <w:color w:val="0000FF"/>
          </w:rPr>
          <w:t>схема 4д</w:t>
        </w:r>
      </w:hyperlink>
      <w:r>
        <w:t xml:space="preserve"> - для партии продукции.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При декларировании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</w:t>
      </w:r>
      <w:proofErr w:type="gramEnd"/>
      <w:r>
        <w:t xml:space="preserve"> союза (лицо, выполняющее функции </w:t>
      </w:r>
      <w:r>
        <w:lastRenderedPageBreak/>
        <w:t>иностранного изготовителя);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24.3. изделия, включенные в Перечень, приведенный в </w:t>
      </w:r>
      <w:hyperlink w:anchor="P51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 Таможенного союза, подлежат подтверждению соответствия в форме сертификации (</w:t>
      </w:r>
      <w:hyperlink r:id="rId36">
        <w:r>
          <w:rPr>
            <w:color w:val="0000FF"/>
          </w:rPr>
          <w:t>схема 1с</w:t>
        </w:r>
      </w:hyperlink>
      <w:r>
        <w:t xml:space="preserve">, </w:t>
      </w:r>
      <w:hyperlink r:id="rId37">
        <w:r>
          <w:rPr>
            <w:color w:val="0000FF"/>
          </w:rPr>
          <w:t>3с</w:t>
        </w:r>
      </w:hyperlink>
      <w:r>
        <w:t>).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При сертификации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</w:t>
      </w:r>
      <w:proofErr w:type="gramEnd"/>
      <w:r>
        <w:t xml:space="preserve"> Таможенного союза (лицо, выполняющее функции иностранного изготовителя).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Сертификация изделий проводится аккредитованным органом по сертификации (оценке (подтверждению) соответствия), включенным в Единый реестр органов по сертификации и испытательных лабораторий (центров) Таможенного союза (далее - орган по сертификации);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 xml:space="preserve">24.4. по решению заявителя вместо декларирования соответствия дорожно-строительных материалов, включенных в </w:t>
      </w:r>
      <w:hyperlink w:anchor="P468">
        <w:r>
          <w:rPr>
            <w:color w:val="0000FF"/>
          </w:rPr>
          <w:t>Перечень</w:t>
        </w:r>
      </w:hyperlink>
      <w:r>
        <w:t xml:space="preserve">, указанный в </w:t>
      </w:r>
      <w:hyperlink w:anchor="P368">
        <w:r>
          <w:rPr>
            <w:color w:val="0000FF"/>
          </w:rPr>
          <w:t>п. 24.2 статьи 5</w:t>
        </w:r>
      </w:hyperlink>
      <w:r>
        <w:t xml:space="preserve"> настоящего технического регламента, может быть проведена сертификация по схемам сертификации, эквивалентным схемам декларирования соответствия, предусмотренным для изделий настоящим техническим регламентом,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24.5. декларация о соответствии или сертификат соответствия является единственным документом, подтверждающим соответствие дорожно-строительных материалов и изделий требованиям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дорожно-строительных материалов и изделий, выпускаемых в обращение на единой таможенной территории Таможенного союза во время действия декларации о соответствии или сертификата соответствия;</w:t>
      </w:r>
    </w:p>
    <w:p w:rsidR="00D17D2C" w:rsidRDefault="00D17D2C">
      <w:pPr>
        <w:pStyle w:val="ConsPlusNormal"/>
        <w:spacing w:before="200"/>
        <w:ind w:firstLine="540"/>
        <w:jc w:val="both"/>
      </w:pPr>
      <w:bookmarkStart w:id="8" w:name="P376"/>
      <w:bookmarkEnd w:id="8"/>
      <w:r>
        <w:t>24.6. при проведении подтверждения соответствия дорожно-строительных материалов и изделий заявитель формирует комплект документов на дорожно-строительные материалы и изделия, подтверждающий соответствие требованиям безопасности настоящего технического регламента, который включает: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стандарт организации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сертификат на систему менеджмента изготовителя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протоколы испытаний дорожно-строительных материалов и изделий, проведенных изготовителем, продавцом, лицом, выполняющим функции иностранного изготовителя и (или) испытательными лабораториями (центрами)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сертификаты соответствия на материалы и комплектующие изделия или протоколы их испытаний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сертификаты соответствия на данные дорожно-строительные материалы и изделия, полученные от зарубежных органов по сертификации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другие документы, прямо или косвенно подтверждающие соответствие дорожно-строительных материалов и изделий требованиям безопасности настоящего технического регламента (при наличии);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24.7. декларирование соответствия дорожно-строительных материалов по </w:t>
      </w:r>
      <w:hyperlink r:id="rId38">
        <w:r>
          <w:rPr>
            <w:color w:val="0000FF"/>
          </w:rPr>
          <w:t>схемам 1д</w:t>
        </w:r>
      </w:hyperlink>
      <w:r>
        <w:t xml:space="preserve">, </w:t>
      </w:r>
      <w:hyperlink r:id="rId39">
        <w:r>
          <w:rPr>
            <w:color w:val="0000FF"/>
          </w:rPr>
          <w:t>3д</w:t>
        </w:r>
      </w:hyperlink>
      <w:r>
        <w:t xml:space="preserve">, </w:t>
      </w:r>
      <w:hyperlink r:id="rId40">
        <w:r>
          <w:rPr>
            <w:color w:val="0000FF"/>
          </w:rPr>
          <w:t>4д</w:t>
        </w:r>
      </w:hyperlink>
      <w:r>
        <w:t xml:space="preserve"> осуществляется на основании: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собственных доказательств </w:t>
      </w:r>
      <w:hyperlink r:id="rId41">
        <w:r>
          <w:rPr>
            <w:color w:val="0000FF"/>
          </w:rPr>
          <w:t>(схема 1д)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доказательств, полученных с участием аккредитованной испытательной лаборатории </w:t>
      </w:r>
      <w:r>
        <w:lastRenderedPageBreak/>
        <w:t>(центра), включенных в Единый реестр органов по сертификации и испытательных лабораторий (центров) Таможенного союза (</w:t>
      </w:r>
      <w:hyperlink r:id="rId42">
        <w:r>
          <w:rPr>
            <w:color w:val="0000FF"/>
          </w:rPr>
          <w:t>схемы 3д</w:t>
        </w:r>
      </w:hyperlink>
      <w:r>
        <w:t xml:space="preserve">, </w:t>
      </w:r>
      <w:hyperlink r:id="rId43">
        <w:r>
          <w:rPr>
            <w:color w:val="0000FF"/>
          </w:rPr>
          <w:t>4д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проведения испытаний дорожно-строительных материалов и производственного контроля изготовителем (</w:t>
      </w:r>
      <w:hyperlink r:id="rId44">
        <w:r>
          <w:rPr>
            <w:color w:val="0000FF"/>
          </w:rPr>
          <w:t>схемы 3д</w:t>
        </w:r>
      </w:hyperlink>
      <w:r>
        <w:t xml:space="preserve">, </w:t>
      </w:r>
      <w:hyperlink r:id="rId45">
        <w:r>
          <w:rPr>
            <w:color w:val="0000FF"/>
          </w:rPr>
          <w:t>4д</w:t>
        </w:r>
      </w:hyperlink>
      <w:r>
        <w:t>).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Испытания дорожно-строительных материалов (</w:t>
      </w:r>
      <w:hyperlink r:id="rId46">
        <w:r>
          <w:rPr>
            <w:color w:val="0000FF"/>
          </w:rPr>
          <w:t>схемы 3д</w:t>
        </w:r>
      </w:hyperlink>
      <w:r>
        <w:t xml:space="preserve">, </w:t>
      </w:r>
      <w:hyperlink r:id="rId47">
        <w:r>
          <w:rPr>
            <w:color w:val="0000FF"/>
          </w:rPr>
          <w:t>4д</w:t>
        </w:r>
      </w:hyperlink>
      <w:r>
        <w:t>) проводятся аккредитованной испытательной лабораторией, включенной в Единый реестр органов по сертификации и испытательных лабораторий (центров)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Декларирование соответствия дорожно-строительных материалов, выпускаемых серийно, осуществляет изготовитель (уполномоченное изготовителем лицо) по </w:t>
      </w:r>
      <w:hyperlink r:id="rId48">
        <w:r>
          <w:rPr>
            <w:color w:val="0000FF"/>
          </w:rPr>
          <w:t>схемам 1д</w:t>
        </w:r>
      </w:hyperlink>
      <w:r>
        <w:t xml:space="preserve">, </w:t>
      </w:r>
      <w:hyperlink r:id="rId49">
        <w:r>
          <w:rPr>
            <w:color w:val="0000FF"/>
          </w:rPr>
          <w:t>3д</w:t>
        </w:r>
      </w:hyperlink>
      <w:r>
        <w:t xml:space="preserve">, партии - </w:t>
      </w:r>
      <w:hyperlink r:id="rId50">
        <w:r>
          <w:rPr>
            <w:color w:val="0000FF"/>
          </w:rPr>
          <w:t>4д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24.8. при проведении декларирования соответствия по схемам (</w:t>
      </w:r>
      <w:hyperlink r:id="rId51">
        <w:r>
          <w:rPr>
            <w:color w:val="0000FF"/>
          </w:rPr>
          <w:t>1д</w:t>
        </w:r>
      </w:hyperlink>
      <w:r>
        <w:t xml:space="preserve">, </w:t>
      </w:r>
      <w:hyperlink r:id="rId52">
        <w:r>
          <w:rPr>
            <w:color w:val="0000FF"/>
          </w:rPr>
          <w:t>3д</w:t>
        </w:r>
      </w:hyperlink>
      <w:r>
        <w:t xml:space="preserve">, </w:t>
      </w:r>
      <w:hyperlink r:id="rId53">
        <w:r>
          <w:rPr>
            <w:color w:val="0000FF"/>
          </w:rPr>
          <w:t>4д</w:t>
        </w:r>
      </w:hyperlink>
      <w:r>
        <w:t>) осуществляются следующие действия: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формирование и анализ технической документации (</w:t>
      </w:r>
      <w:hyperlink r:id="rId54">
        <w:r>
          <w:rPr>
            <w:color w:val="0000FF"/>
          </w:rPr>
          <w:t>схемы 1д</w:t>
        </w:r>
      </w:hyperlink>
      <w:r>
        <w:t xml:space="preserve">, </w:t>
      </w:r>
      <w:hyperlink r:id="rId55">
        <w:r>
          <w:rPr>
            <w:color w:val="0000FF"/>
          </w:rPr>
          <w:t>3д</w:t>
        </w:r>
      </w:hyperlink>
      <w:r>
        <w:t xml:space="preserve">, </w:t>
      </w:r>
      <w:hyperlink r:id="rId56">
        <w:r>
          <w:rPr>
            <w:color w:val="0000FF"/>
          </w:rPr>
          <w:t>4д</w:t>
        </w:r>
      </w:hyperlink>
      <w:r>
        <w:t xml:space="preserve">) с учетом положений </w:t>
      </w:r>
      <w:hyperlink w:anchor="P376">
        <w:r>
          <w:rPr>
            <w:color w:val="0000FF"/>
          </w:rPr>
          <w:t>п. 24.6 статьи 5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осуществление производственного контроля (</w:t>
      </w:r>
      <w:hyperlink r:id="rId57">
        <w:r>
          <w:rPr>
            <w:color w:val="0000FF"/>
          </w:rPr>
          <w:t>схемы 1д</w:t>
        </w:r>
      </w:hyperlink>
      <w:r>
        <w:t xml:space="preserve">, </w:t>
      </w:r>
      <w:hyperlink r:id="rId58">
        <w:r>
          <w:rPr>
            <w:color w:val="0000FF"/>
          </w:rPr>
          <w:t>3д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проведение испытаний образцов продукции (</w:t>
      </w:r>
      <w:hyperlink r:id="rId59">
        <w:r>
          <w:rPr>
            <w:color w:val="0000FF"/>
          </w:rPr>
          <w:t>схемы 1д</w:t>
        </w:r>
      </w:hyperlink>
      <w:r>
        <w:t xml:space="preserve">, </w:t>
      </w:r>
      <w:hyperlink r:id="rId60">
        <w:r>
          <w:rPr>
            <w:color w:val="0000FF"/>
          </w:rPr>
          <w:t>3д</w:t>
        </w:r>
      </w:hyperlink>
      <w:r>
        <w:t xml:space="preserve">, </w:t>
      </w:r>
      <w:hyperlink r:id="rId61">
        <w:r>
          <w:rPr>
            <w:color w:val="0000FF"/>
          </w:rPr>
          <w:t>4д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принятие и регистрация декларации о соответствии (</w:t>
      </w:r>
      <w:hyperlink r:id="rId62">
        <w:r>
          <w:rPr>
            <w:color w:val="0000FF"/>
          </w:rPr>
          <w:t>схемы 1д</w:t>
        </w:r>
      </w:hyperlink>
      <w:r>
        <w:t xml:space="preserve">, </w:t>
      </w:r>
      <w:hyperlink r:id="rId63">
        <w:r>
          <w:rPr>
            <w:color w:val="0000FF"/>
          </w:rPr>
          <w:t>3д</w:t>
        </w:r>
      </w:hyperlink>
      <w:r>
        <w:t xml:space="preserve">, </w:t>
      </w:r>
      <w:hyperlink r:id="rId64">
        <w:r>
          <w:rPr>
            <w:color w:val="0000FF"/>
          </w:rPr>
          <w:t>4д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нанесение </w:t>
      </w:r>
      <w:hyperlink r:id="rId65">
        <w:r>
          <w:rPr>
            <w:color w:val="0000FF"/>
          </w:rPr>
          <w:t>единого знака</w:t>
        </w:r>
      </w:hyperlink>
      <w:r>
        <w:t xml:space="preserve"> обращения (</w:t>
      </w:r>
      <w:hyperlink r:id="rId66">
        <w:r>
          <w:rPr>
            <w:color w:val="0000FF"/>
          </w:rPr>
          <w:t>схемы 1д</w:t>
        </w:r>
      </w:hyperlink>
      <w:r>
        <w:t xml:space="preserve">, </w:t>
      </w:r>
      <w:hyperlink r:id="rId67">
        <w:r>
          <w:rPr>
            <w:color w:val="0000FF"/>
          </w:rPr>
          <w:t>3д</w:t>
        </w:r>
      </w:hyperlink>
      <w:r>
        <w:t xml:space="preserve">, </w:t>
      </w:r>
      <w:hyperlink r:id="rId68">
        <w:r>
          <w:rPr>
            <w:color w:val="0000FF"/>
          </w:rPr>
          <w:t>4д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24.9. в качестве доказательственных материалов, являющихся основанием для принятия декларации о соответствии, используются документы, указанные в </w:t>
      </w:r>
      <w:hyperlink w:anchor="P376">
        <w:r>
          <w:rPr>
            <w:color w:val="0000FF"/>
          </w:rPr>
          <w:t>пункте 24.6 статьи 5</w:t>
        </w:r>
      </w:hyperlink>
      <w:r>
        <w:t xml:space="preserve"> настоящего технического регламента.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В качестве условий применения указанных документов могут рассматриваться: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1) для протоколов испытаний: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наличие в протоколах испытаний значений показателей, подтверждающих соответствие всем требованиям, установленным в настоящем техническом регламенте, распространяющимся на конкретную заявленную продукцию;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распространение протоколов испытаний на заявленные дорожно-строительные материалы;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2) сертификаты на систему менеджмента качества производства - если они распространяются на изготовление заявленных дорожно-строительных материалов;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3) иные документы, прямо или косвенно подтверждающие соответствие дорожно-строительных материалов установленным требованиям, сертификаты соответствия на заявленные дорожно-строительные материалы, выданные при добровольной сертификации;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24.10. декларация о соответствии оформляется по единой </w:t>
      </w:r>
      <w:hyperlink r:id="rId69">
        <w:r>
          <w:rPr>
            <w:color w:val="0000FF"/>
          </w:rPr>
          <w:t>форме</w:t>
        </w:r>
      </w:hyperlink>
      <w:r>
        <w:t>, утвержденной решением Комиссии Таможенного союза.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r>
        <w:t xml:space="preserve">Декларация о соответствии подлежит регистрации в соответствии с </w:t>
      </w:r>
      <w:hyperlink r:id="rId71">
        <w:r>
          <w:rPr>
            <w:color w:val="0000FF"/>
          </w:rPr>
          <w:t>порядком</w:t>
        </w:r>
      </w:hyperlink>
      <w:r>
        <w:t>, утвержденным Комиссий Таможенного союза. Действие декларации о соответствии начинается со дня ее регистрации. Срок действия декларации о соответствии - не более пяти лет.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24.11. при проведении сертификации изделий (</w:t>
      </w:r>
      <w:hyperlink r:id="rId72">
        <w:r>
          <w:rPr>
            <w:color w:val="0000FF"/>
          </w:rPr>
          <w:t>схемы 1с</w:t>
        </w:r>
      </w:hyperlink>
      <w:r>
        <w:t xml:space="preserve">, </w:t>
      </w:r>
      <w:hyperlink r:id="rId73">
        <w:r>
          <w:rPr>
            <w:color w:val="0000FF"/>
          </w:rPr>
          <w:t>3с</w:t>
        </w:r>
      </w:hyperlink>
      <w:r>
        <w:t xml:space="preserve">) осуществляются следующие </w:t>
      </w:r>
      <w:r>
        <w:lastRenderedPageBreak/>
        <w:t>действия: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подача заявителем в орган по сертификации продукции заявки на проведение сертификации с прилагаемой технической документацией (</w:t>
      </w:r>
      <w:hyperlink r:id="rId74">
        <w:r>
          <w:rPr>
            <w:color w:val="0000FF"/>
          </w:rPr>
          <w:t>схемы 1с</w:t>
        </w:r>
      </w:hyperlink>
      <w:r>
        <w:t xml:space="preserve">, </w:t>
      </w:r>
      <w:hyperlink r:id="rId75">
        <w:r>
          <w:rPr>
            <w:color w:val="0000FF"/>
          </w:rPr>
          <w:t>3с</w:t>
        </w:r>
      </w:hyperlink>
      <w:r>
        <w:t xml:space="preserve">) с учетом </w:t>
      </w:r>
      <w:hyperlink w:anchor="P376">
        <w:r>
          <w:rPr>
            <w:color w:val="0000FF"/>
          </w:rPr>
          <w:t>пункта 24.6 статьи 5</w:t>
        </w:r>
      </w:hyperlink>
      <w:r>
        <w:t xml:space="preserve"> настоящего технического регламента;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рассмотрение заявки и принятие по ней решения органом по сертификации продукции (</w:t>
      </w:r>
      <w:hyperlink r:id="rId76">
        <w:r>
          <w:rPr>
            <w:color w:val="0000FF"/>
          </w:rPr>
          <w:t>схемы 1с</w:t>
        </w:r>
      </w:hyperlink>
      <w:r>
        <w:t xml:space="preserve">, </w:t>
      </w:r>
      <w:hyperlink r:id="rId77">
        <w:r>
          <w:rPr>
            <w:color w:val="0000FF"/>
          </w:rPr>
          <w:t>3с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отбор органом по сертификации продукции образцов для проведения испытаний (</w:t>
      </w:r>
      <w:hyperlink r:id="rId78">
        <w:r>
          <w:rPr>
            <w:color w:val="0000FF"/>
          </w:rPr>
          <w:t>схемы 1с</w:t>
        </w:r>
      </w:hyperlink>
      <w:r>
        <w:t xml:space="preserve">, </w:t>
      </w:r>
      <w:hyperlink r:id="rId79">
        <w:r>
          <w:rPr>
            <w:color w:val="0000FF"/>
          </w:rPr>
          <w:t>3с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проведение испытаний образцов продукции аккредитованной испытательной лабораторией (</w:t>
      </w:r>
      <w:hyperlink r:id="rId80">
        <w:r>
          <w:rPr>
            <w:color w:val="0000FF"/>
          </w:rPr>
          <w:t>схемы 1с</w:t>
        </w:r>
      </w:hyperlink>
      <w:r>
        <w:t xml:space="preserve">, </w:t>
      </w:r>
      <w:hyperlink r:id="rId81">
        <w:r>
          <w:rPr>
            <w:color w:val="0000FF"/>
          </w:rPr>
          <w:t>3с</w:t>
        </w:r>
      </w:hyperlink>
      <w:r>
        <w:t>);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проведение органом по сертификации продукции анализа состояния производства </w:t>
      </w:r>
      <w:hyperlink r:id="rId82">
        <w:r>
          <w:rPr>
            <w:color w:val="0000FF"/>
          </w:rPr>
          <w:t>(схема 1с)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обобщение органом по сертификации продукции результатов испытаний и анализа состояния производства и выдачу заявителю сертификата соответствия </w:t>
      </w:r>
      <w:hyperlink r:id="rId83">
        <w:r>
          <w:rPr>
            <w:color w:val="0000FF"/>
          </w:rPr>
          <w:t>(схема 1с)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анализ результатов испытаний и выдачу заявителю сертификата соответствия </w:t>
      </w:r>
      <w:hyperlink r:id="rId84">
        <w:r>
          <w:rPr>
            <w:color w:val="0000FF"/>
          </w:rPr>
          <w:t>(схема 3с)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- нанесение </w:t>
      </w:r>
      <w:hyperlink r:id="rId85">
        <w:r>
          <w:rPr>
            <w:color w:val="0000FF"/>
          </w:rPr>
          <w:t>единого знака</w:t>
        </w:r>
      </w:hyperlink>
      <w:r>
        <w:t xml:space="preserve"> обращения (</w:t>
      </w:r>
      <w:hyperlink r:id="rId86">
        <w:r>
          <w:rPr>
            <w:color w:val="0000FF"/>
          </w:rPr>
          <w:t>схемы 1с</w:t>
        </w:r>
      </w:hyperlink>
      <w:r>
        <w:t xml:space="preserve">, </w:t>
      </w:r>
      <w:hyperlink r:id="rId87">
        <w:r>
          <w:rPr>
            <w:color w:val="0000FF"/>
          </w:rPr>
          <w:t>3с</w:t>
        </w:r>
      </w:hyperlink>
      <w:r>
        <w:t>);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Плановая периодическая оценка (инспекционный контроль), срок которых наступает в 2022 г., проводятся в соответствии с </w:t>
            </w:r>
            <w:hyperlink r:id="rId8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12.03.2022 N 353, либо могут быть перенесены органом по сертификации на срок до 6 месяцев.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r>
        <w:t xml:space="preserve">- инспекционный </w:t>
      </w:r>
      <w:proofErr w:type="gramStart"/>
      <w:r>
        <w:t>контроль за</w:t>
      </w:r>
      <w:proofErr w:type="gramEnd"/>
      <w:r>
        <w:t xml:space="preserve"> сертифицированной продукцией </w:t>
      </w:r>
      <w:hyperlink r:id="rId89">
        <w:r>
          <w:rPr>
            <w:color w:val="0000FF"/>
          </w:rPr>
          <w:t>(схема 1с)</w:t>
        </w:r>
      </w:hyperlink>
      <w:r>
        <w:t>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24.12. </w:t>
      </w:r>
      <w:hyperlink r:id="rId90">
        <w:r>
          <w:rPr>
            <w:color w:val="0000FF"/>
          </w:rPr>
          <w:t>схема 1с</w:t>
        </w:r>
      </w:hyperlink>
      <w:r>
        <w:t xml:space="preserve"> для сертификации серийно выпускаемой продукции. </w:t>
      </w:r>
      <w:hyperlink r:id="rId91">
        <w:r>
          <w:rPr>
            <w:color w:val="0000FF"/>
          </w:rPr>
          <w:t>Схема 3с</w:t>
        </w:r>
      </w:hyperlink>
      <w:r>
        <w:t xml:space="preserve"> для партии продукции;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24.13. заявитель может обратиться с заявкой на сертификацию в любой орган по сертификации.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Заявка на проведение сертификации оформляется заявителем и должна содержать: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наименование и местонахождение заявителя;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наименование и местонахождение изготовителя;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>- сведения об изделиях (их составе) и их идентифицирующие признаки (наименование, код по классификатору внешнеэкономической деятельности Таможенного союза, документ, по которому изготовлено изделие (межгосударственный или национальный стандарт, стандарт организации и т.п.), форма выпуска - серийное производство или партия, реквизиты договора (контракта) и т.п.);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>- схему сертификации.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Орган по сертификации рассматривает заявку и принимает решение о возможности проведения сертификации. При положительном решении орган по сертификации заключает договор с заявителем о проведении работ по сертификации. Орган по сертификации проводит работы по сертификации, готовит решение и при положительном результате выдает заявителю сертификат соответствия.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Испытания типового образца (типовых образцов) изделия проводятся аккредитованной испытательной лабораторией (центром) по поручению органа по сертификации, которому выдается протокол испытаний.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lastRenderedPageBreak/>
        <w:t>Анализ состояния производства проводится органом по сертификац</w:t>
      </w:r>
      <w:proofErr w:type="gramStart"/>
      <w:r>
        <w:t>ии у и</w:t>
      </w:r>
      <w:proofErr w:type="gramEnd"/>
      <w:r>
        <w:t>зготовителя. Результаты анализа оформляются актом.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При положительных результатах, предусмотренных схемой сертификации, орган по сертификации оформляет сертификат соответствия и выдает его заявителю. Сертификат соответствия оформляется по единой </w:t>
      </w:r>
      <w:hyperlink r:id="rId92">
        <w:r>
          <w:rPr>
            <w:color w:val="0000FF"/>
          </w:rPr>
          <w:t>форме</w:t>
        </w:r>
      </w:hyperlink>
      <w:r>
        <w:t>, утвержденной решением Комиссии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24.14.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соответствии, оформленных по единой </w:t>
      </w:r>
      <w:hyperlink r:id="rId93">
        <w:r>
          <w:rPr>
            <w:color w:val="0000FF"/>
          </w:rPr>
          <w:t>форме</w:t>
        </w:r>
      </w:hyperlink>
      <w:r>
        <w:t>.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</w:pPr>
      <w:r>
        <w:t>Срок действия сертификата соответствия устанавливается для выпускаемых изделий серийного производства - не более пяти лет, для выпущенной партии срок не устанавливается.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Сертификат соответствия может иметь приложение, содержащее перечень конкретных изделий, на которые распространяется его действие. Приложение оформляется, если: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требуется детализировать состав группы однородной продукции, выпускаемой заявителем и сертифицированной по одним и тем же требованиям;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требуется указать заводы-изготовители, входящие в более крупные объединения, имеющие единые условия производства продукции;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24.15. изготовитель предпринимает все необходимые меры, чтобы процесс производства был стабильным и обеспечивал соответствие изготавливаемых дорожно-строительных материалов и изделий требованиям настоящего технического регламента Таможенного союза;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24.16. </w:t>
      </w:r>
      <w:hyperlink r:id="rId95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Дорожно-строительные материалы и изделия, соответствующие требованиям безопасности настоящего технического регламента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Маркировка единым знаком обращения продукции на рынке государств - членов Таможенного союза осуществляется перед выпуском дорожно-строительных материалов и изделий в обращение на рынке;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24.17. единый знак обращения продукции на рынке государств - членов Таможенного союза наносится на каждую единицу изделий, определенных в Перечне изделий, подлежащих подтверждению соответствия в форме сертификации в соответствии с настоящим техническим регламентом Таможенного союза, любым способом, обеспечивающим четкое и ясное изображение в течение всего срока службы изделия. Единый знак обращения продукции на рынке государств - членов Таможенного союза наносится на само изделие;</w:t>
      </w:r>
    </w:p>
    <w:p w:rsidR="00D17D2C" w:rsidRDefault="00D17D2C">
      <w:pPr>
        <w:pStyle w:val="ConsPlusNormal"/>
        <w:spacing w:before="200"/>
        <w:ind w:firstLine="540"/>
        <w:jc w:val="both"/>
      </w:pPr>
      <w:proofErr w:type="gramStart"/>
      <w:r>
        <w:t xml:space="preserve">24.18. нанесение единого знака обращения продукции на рынке государств - членов Таможенного союза на дорожно-строительные материалы, включенные в </w:t>
      </w:r>
      <w:hyperlink w:anchor="P468">
        <w:r>
          <w:rPr>
            <w:color w:val="0000FF"/>
          </w:rPr>
          <w:t>Перечень</w:t>
        </w:r>
      </w:hyperlink>
      <w:r>
        <w:t xml:space="preserve"> дорожно-строительных материалов, подлежащих подтверждению соответствия в форме декларирования соответствия в соответствии с настоящим техническим регламентом Таможенного союза, наносится на упаковку (при ее наличии) и должна содержаться в прилагаемых товарно-сопроводительных документах на дорожно-строительные материалы;</w:t>
      </w:r>
      <w:proofErr w:type="gramEnd"/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24.19. дорожно-строительные материалы и изделия маркируются единым знаком обращения продукции на рынке государств - членов Таможенного союза при их соответствии требованиям всех технических регламентов Таможенного союза, распространяющихся на них и предусматривающих нанесение единого знака обращения продукции на рынке государств - членов </w:t>
      </w:r>
      <w:r>
        <w:lastRenderedPageBreak/>
        <w:t>Таможенного союза.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 xml:space="preserve">25. Государственный </w:t>
      </w:r>
      <w:proofErr w:type="gramStart"/>
      <w:r>
        <w:t>контроль за</w:t>
      </w:r>
      <w:proofErr w:type="gramEnd"/>
      <w:r>
        <w:t xml:space="preserve"> соблюдением требований настоящего технического регламента осуществляется органом государственного надзора в сфере автомобильных дорог в порядке, установленном </w:t>
      </w:r>
      <w:hyperlink r:id="rId96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</w:t>
      </w:r>
    </w:p>
    <w:p w:rsidR="00D17D2C" w:rsidRDefault="00D17D2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</w:t>
            </w:r>
            <w:proofErr w:type="gramStart"/>
            <w:r>
              <w:rPr>
                <w:color w:val="392C69"/>
              </w:rPr>
              <w:t>с даты вступления</w:t>
            </w:r>
            <w:proofErr w:type="gramEnd"/>
            <w:r>
              <w:rPr>
                <w:color w:val="392C69"/>
              </w:rPr>
              <w:t xml:space="preserve"> в силу отдельного технического регламента Таможенного союза на строительные материалы и изделия в отношении дорожно-строительных материалов статья 6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ind w:firstLine="540"/>
        <w:jc w:val="both"/>
        <w:outlineLvl w:val="1"/>
      </w:pPr>
      <w:bookmarkStart w:id="9" w:name="P448"/>
      <w:bookmarkEnd w:id="9"/>
      <w:r>
        <w:t>Статья 6. Защитительная оговорка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>26. Основанием для применения статьи защиты могут быть следующие случаи: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невыполнение требований настоящего технического регламента;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27. Компетентный орган исполнительной власти государства - члена Таможенного союза, на территории которого выявлена продукция, не соответствующая требованиям настоящего технического регламента, обязан предпринять меры по ограничению и (или) запрету выпуска в обращение этой продукции на своей территории, а также изъятию с рынка этой продукции.</w:t>
      </w:r>
    </w:p>
    <w:p w:rsidR="00D17D2C" w:rsidRDefault="00D17D2C">
      <w:pPr>
        <w:pStyle w:val="ConsPlusNormal"/>
        <w:spacing w:before="200"/>
        <w:ind w:firstLine="540"/>
        <w:jc w:val="both"/>
      </w:pPr>
      <w:r>
        <w:t>28. Компетентный орган исполнительной власти государства - члена Таможенного союза обязан уведомить Комиссию Таможенного союза и компетентные органы исполнительной власти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jc w:val="right"/>
        <w:outlineLvl w:val="1"/>
      </w:pPr>
      <w:r>
        <w:t>Приложение 1</w:t>
      </w:r>
    </w:p>
    <w:p w:rsidR="00D17D2C" w:rsidRDefault="00D17D2C">
      <w:pPr>
        <w:pStyle w:val="ConsPlusNormal"/>
        <w:jc w:val="right"/>
      </w:pPr>
      <w:r>
        <w:t>к техническому регламенту</w:t>
      </w:r>
    </w:p>
    <w:p w:rsidR="00D17D2C" w:rsidRDefault="00D17D2C">
      <w:pPr>
        <w:pStyle w:val="ConsPlusNormal"/>
        <w:jc w:val="right"/>
      </w:pPr>
      <w:r>
        <w:t>Таможенного союза "Безопасность</w:t>
      </w:r>
    </w:p>
    <w:p w:rsidR="00D17D2C" w:rsidRDefault="00D17D2C">
      <w:pPr>
        <w:pStyle w:val="ConsPlusNormal"/>
        <w:jc w:val="right"/>
      </w:pPr>
      <w:r>
        <w:t>автомобильных дорог"</w:t>
      </w:r>
    </w:p>
    <w:p w:rsidR="00D17D2C" w:rsidRDefault="00D17D2C">
      <w:pPr>
        <w:pStyle w:val="ConsPlusNormal"/>
        <w:jc w:val="right"/>
      </w:pPr>
      <w:r>
        <w:t>(</w:t>
      </w:r>
      <w:proofErr w:type="gramStart"/>
      <w:r>
        <w:t>ТР</w:t>
      </w:r>
      <w:proofErr w:type="gramEnd"/>
      <w:r>
        <w:t xml:space="preserve"> ТС 014/2011)</w:t>
      </w:r>
    </w:p>
    <w:p w:rsidR="00D17D2C" w:rsidRDefault="00D17D2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</w:t>
            </w:r>
            <w:proofErr w:type="gramStart"/>
            <w:r>
              <w:rPr>
                <w:color w:val="392C69"/>
              </w:rPr>
              <w:t>с даты вступления</w:t>
            </w:r>
            <w:proofErr w:type="gramEnd"/>
            <w:r>
              <w:rPr>
                <w:color w:val="392C69"/>
              </w:rPr>
              <w:t xml:space="preserve"> в силу отдельного технического регламента Таможенного союза на строительные материалы и изделия в отношении дорожно-строительных материалов приложение 1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spacing w:before="260"/>
        <w:jc w:val="center"/>
      </w:pPr>
      <w:bookmarkStart w:id="10" w:name="P468"/>
      <w:bookmarkEnd w:id="10"/>
      <w:r>
        <w:t>ПЕРЕЧЕНЬ</w:t>
      </w:r>
    </w:p>
    <w:p w:rsidR="00D17D2C" w:rsidRDefault="00D17D2C">
      <w:pPr>
        <w:pStyle w:val="ConsPlusNormal"/>
        <w:jc w:val="center"/>
      </w:pPr>
      <w:r>
        <w:t>ДОРОЖНО-СТРОИТЕЛЬНЫХ МАТЕРИАЛОВ, ПОДЛЕЖАЩИХ ПОДТВЕРЖДЕНИЮ</w:t>
      </w:r>
    </w:p>
    <w:p w:rsidR="00D17D2C" w:rsidRDefault="00D17D2C">
      <w:pPr>
        <w:pStyle w:val="ConsPlusNormal"/>
        <w:jc w:val="center"/>
      </w:pPr>
      <w:r>
        <w:t>СООТВЕТСТВИЯ В ФОРМЕ ДЕКЛАРИРОВАНИЯ СООТВЕТСТВИЯ</w:t>
      </w:r>
    </w:p>
    <w:p w:rsidR="00D17D2C" w:rsidRDefault="00D17D2C">
      <w:pPr>
        <w:pStyle w:val="ConsPlusNormal"/>
        <w:jc w:val="center"/>
      </w:pPr>
      <w:r>
        <w:t xml:space="preserve">В СООТВЕТСТВИИ С ТЕХНИЧЕСКИМ РЕГЛАМЕНТОМ </w:t>
      </w:r>
      <w:proofErr w:type="gramStart"/>
      <w:r>
        <w:t>ТАМОЖЕННОГО</w:t>
      </w:r>
      <w:proofErr w:type="gramEnd"/>
    </w:p>
    <w:p w:rsidR="00D17D2C" w:rsidRDefault="00D17D2C">
      <w:pPr>
        <w:pStyle w:val="ConsPlusNormal"/>
        <w:jc w:val="center"/>
      </w:pPr>
      <w:r>
        <w:t>СОЮЗА "БЕЗОПАСНОСТЬ АВТОМОБИЛЬНЫХ ДОРОГ"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┌────┬────────────────────────────────────────────────┬───────────────────┐</w:t>
      </w:r>
    </w:p>
    <w:p w:rsidR="00D17D2C" w:rsidRDefault="00D17D2C">
      <w:pPr>
        <w:pStyle w:val="ConsPlusCell"/>
        <w:jc w:val="both"/>
      </w:pPr>
      <w:r>
        <w:t>│ N  │             Наименование материала             │    Код позиции    │</w:t>
      </w:r>
    </w:p>
    <w:p w:rsidR="00D17D2C" w:rsidRDefault="00D17D2C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 xml:space="preserve">/п │                                                │   по </w:t>
      </w:r>
      <w:hyperlink r:id="rId97">
        <w:r>
          <w:rPr>
            <w:color w:val="0000FF"/>
          </w:rPr>
          <w:t>ТН ВЭД ТС</w:t>
        </w:r>
      </w:hyperlink>
      <w:r>
        <w:t xml:space="preserve">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1. │    Песок природный для дорожного строительства</w:t>
      </w:r>
      <w:proofErr w:type="gramStart"/>
      <w:r>
        <w:t xml:space="preserve"> │      И</w:t>
      </w:r>
      <w:proofErr w:type="gramEnd"/>
      <w:r>
        <w:t>з 2505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2. │    Песок дробленый для дорожного строительства</w:t>
      </w:r>
      <w:proofErr w:type="gramStart"/>
      <w:r>
        <w:t xml:space="preserve"> │      И</w:t>
      </w:r>
      <w:proofErr w:type="gramEnd"/>
      <w:r>
        <w:t>з 2517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3. │    Щебень и гравий из горных пород для</w:t>
      </w:r>
      <w:proofErr w:type="gramStart"/>
      <w:r>
        <w:t xml:space="preserve">         │      И</w:t>
      </w:r>
      <w:proofErr w:type="gramEnd"/>
      <w:r>
        <w:t>з 2517      │</w:t>
      </w:r>
    </w:p>
    <w:p w:rsidR="00D17D2C" w:rsidRDefault="00D17D2C">
      <w:pPr>
        <w:pStyle w:val="ConsPlusCell"/>
        <w:jc w:val="both"/>
      </w:pPr>
      <w:r>
        <w:lastRenderedPageBreak/>
        <w:t>│    │дорожного строительства                         │         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4. │    Минеральный порошок</w:t>
      </w:r>
      <w:proofErr w:type="gramStart"/>
      <w:r>
        <w:t xml:space="preserve">                         │      И</w:t>
      </w:r>
      <w:proofErr w:type="gramEnd"/>
      <w:r>
        <w:t>з 2517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5. │    Цемент для дорожного строительства</w:t>
      </w:r>
      <w:proofErr w:type="gramStart"/>
      <w:r>
        <w:t xml:space="preserve">          │      И</w:t>
      </w:r>
      <w:proofErr w:type="gramEnd"/>
      <w:r>
        <w:t>з 2523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6. │    Щебень и песок шлаковые для дорожного</w:t>
      </w:r>
      <w:proofErr w:type="gramStart"/>
      <w:r>
        <w:t xml:space="preserve">       │ И</w:t>
      </w:r>
      <w:proofErr w:type="gramEnd"/>
      <w:r>
        <w:t>з 2618 00 000 0  │</w:t>
      </w:r>
    </w:p>
    <w:p w:rsidR="00D17D2C" w:rsidRDefault="00D17D2C">
      <w:pPr>
        <w:pStyle w:val="ConsPlusCell"/>
        <w:jc w:val="both"/>
      </w:pPr>
      <w:r>
        <w:t>│    │строительства                                   │         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7. │    Битум нефтяной дорожный вязкий</w:t>
      </w:r>
      <w:proofErr w:type="gramStart"/>
      <w:r>
        <w:t xml:space="preserve">              │ И</w:t>
      </w:r>
      <w:proofErr w:type="gramEnd"/>
      <w:r>
        <w:t>з 2713 20 000 0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8. │    Битум нефтяной дорожный жидкий</w:t>
      </w:r>
      <w:proofErr w:type="gramStart"/>
      <w:r>
        <w:t xml:space="preserve">              │ И</w:t>
      </w:r>
      <w:proofErr w:type="gramEnd"/>
      <w:r>
        <w:t>з 2713 20 000 0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9. │    Дорожные битумные мастики и герметики</w:t>
      </w:r>
      <w:proofErr w:type="gramStart"/>
      <w:r>
        <w:t xml:space="preserve">       │      И</w:t>
      </w:r>
      <w:proofErr w:type="gramEnd"/>
      <w:r>
        <w:t>з 2713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 10.│    Материалы для дорожной разметки</w:t>
      </w:r>
      <w:proofErr w:type="gramStart"/>
      <w:r>
        <w:t xml:space="preserve">             │      И</w:t>
      </w:r>
      <w:proofErr w:type="gramEnd"/>
      <w:r>
        <w:t>з 3208      │</w:t>
      </w:r>
    </w:p>
    <w:p w:rsidR="00D17D2C" w:rsidRDefault="00D17D2C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└────┴────────────────────────────────────────────────┴───────────────────┘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jc w:val="right"/>
        <w:outlineLvl w:val="1"/>
      </w:pPr>
      <w:r>
        <w:t>Приложение 2</w:t>
      </w:r>
    </w:p>
    <w:p w:rsidR="00D17D2C" w:rsidRDefault="00D17D2C">
      <w:pPr>
        <w:pStyle w:val="ConsPlusNormal"/>
        <w:jc w:val="right"/>
      </w:pPr>
      <w:r>
        <w:t>к техническому регламенту</w:t>
      </w:r>
    </w:p>
    <w:p w:rsidR="00D17D2C" w:rsidRDefault="00D17D2C">
      <w:pPr>
        <w:pStyle w:val="ConsPlusNormal"/>
        <w:jc w:val="right"/>
      </w:pPr>
      <w:r>
        <w:t>Таможенного союза "Безопасность</w:t>
      </w:r>
    </w:p>
    <w:p w:rsidR="00D17D2C" w:rsidRDefault="00D17D2C">
      <w:pPr>
        <w:pStyle w:val="ConsPlusNormal"/>
        <w:jc w:val="right"/>
      </w:pPr>
      <w:r>
        <w:t>автомобильных дорог"</w:t>
      </w:r>
    </w:p>
    <w:p w:rsidR="00D17D2C" w:rsidRDefault="00D17D2C">
      <w:pPr>
        <w:pStyle w:val="ConsPlusNormal"/>
        <w:jc w:val="right"/>
      </w:pPr>
      <w:r>
        <w:t>(</w:t>
      </w:r>
      <w:proofErr w:type="gramStart"/>
      <w:r>
        <w:t>ТР</w:t>
      </w:r>
      <w:proofErr w:type="gramEnd"/>
      <w:r>
        <w:t xml:space="preserve"> ТС 014/2011)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jc w:val="center"/>
      </w:pPr>
      <w:bookmarkStart w:id="11" w:name="P511"/>
      <w:bookmarkEnd w:id="11"/>
      <w:r>
        <w:t>ПЕРЕЧЕНЬ</w:t>
      </w:r>
    </w:p>
    <w:p w:rsidR="00D17D2C" w:rsidRDefault="00D17D2C">
      <w:pPr>
        <w:pStyle w:val="ConsPlusNormal"/>
        <w:jc w:val="center"/>
      </w:pPr>
      <w:r>
        <w:t>ИЗДЕЛИЙ, ПОДЛЕЖАЩИХ ПОДТВЕРЖДЕНИЮ СООТВЕТСТВИЯ В ФОРМЕ</w:t>
      </w:r>
    </w:p>
    <w:p w:rsidR="00D17D2C" w:rsidRDefault="00D17D2C">
      <w:pPr>
        <w:pStyle w:val="ConsPlusNormal"/>
        <w:jc w:val="center"/>
      </w:pPr>
      <w:r>
        <w:t>СЕРТИФИКАЦИИ В СООТВЕТСТВИИ С ТЕХНИЧЕСКИМ РЕГЛАМЕНТОМ</w:t>
      </w:r>
    </w:p>
    <w:p w:rsidR="00D17D2C" w:rsidRDefault="00D17D2C">
      <w:pPr>
        <w:pStyle w:val="ConsPlusNormal"/>
        <w:jc w:val="center"/>
      </w:pPr>
      <w:r>
        <w:t>ТАМОЖЕННОГО СОЮЗА "БЕЗОПАСНОСТЬ АВТОМОБИЛЬНЫХ ДОРОГ"</w:t>
      </w:r>
    </w:p>
    <w:p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D2C" w:rsidRDefault="00D17D2C">
            <w:pPr>
              <w:pStyle w:val="ConsPlusNormal"/>
            </w:pPr>
          </w:p>
        </w:tc>
      </w:tr>
    </w:tbl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┌────┬────────────────────────────────────────────────┬───────────────────┐</w:t>
      </w:r>
    </w:p>
    <w:p w:rsidR="00D17D2C" w:rsidRDefault="00D17D2C">
      <w:pPr>
        <w:pStyle w:val="ConsPlusCell"/>
        <w:jc w:val="both"/>
      </w:pPr>
      <w:r>
        <w:t>│ N  │             Наименование материала             │   Код позиции     │</w:t>
      </w:r>
    </w:p>
    <w:p w:rsidR="00D17D2C" w:rsidRDefault="00D17D2C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 xml:space="preserve">/п │                                                │   по </w:t>
      </w:r>
      <w:hyperlink r:id="rId99">
        <w:r>
          <w:rPr>
            <w:color w:val="0000FF"/>
          </w:rPr>
          <w:t>ТН ВЭД ТС</w:t>
        </w:r>
      </w:hyperlink>
      <w:r>
        <w:t xml:space="preserve">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│1.  │    Дорожные светофоры</w:t>
      </w:r>
      <w:proofErr w:type="gramStart"/>
      <w:r>
        <w:t xml:space="preserve">                          │      И</w:t>
      </w:r>
      <w:proofErr w:type="gramEnd"/>
      <w:r>
        <w:t>з 8530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│2.  │    Дорожные знаки                  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0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│3.  │    Дорожные ограждения             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│4.  │    Табло с изменяющейся информацией</w:t>
      </w:r>
      <w:proofErr w:type="gramStart"/>
      <w:r>
        <w:t xml:space="preserve">            │      И</w:t>
      </w:r>
      <w:proofErr w:type="gramEnd"/>
      <w:r>
        <w:t>з 8530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│5.  │    Дорожные сигнальные столбики    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2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│6.  │    Дорожные тумбы                  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3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│7.  │    Дорожные световозвращатели      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4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│8.  │    Искусственные неровности сборные            │  из 8608 00 000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5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│9.  │    Опоры для монтажа технических средств       │  из 8608 00 000   │</w:t>
      </w:r>
    </w:p>
    <w:p w:rsidR="00D17D2C" w:rsidRDefault="00D17D2C">
      <w:pPr>
        <w:pStyle w:val="ConsPlusCell"/>
        <w:jc w:val="both"/>
      </w:pPr>
      <w:r>
        <w:lastRenderedPageBreak/>
        <w:t>│    │организации дорожного движения и стационарного  │                   │</w:t>
      </w:r>
    </w:p>
    <w:p w:rsidR="00D17D2C" w:rsidRDefault="00D17D2C">
      <w:pPr>
        <w:pStyle w:val="ConsPlusCell"/>
        <w:jc w:val="both"/>
      </w:pPr>
      <w:r>
        <w:t>│    │электрического освещения                        │                   │</w:t>
      </w:r>
    </w:p>
    <w:p w:rsidR="00D17D2C" w:rsidRDefault="00D17D2C">
      <w:pPr>
        <w:pStyle w:val="ConsPlusCell"/>
        <w:jc w:val="both"/>
      </w:pPr>
      <w:r>
        <w:t xml:space="preserve">│(в ред. </w:t>
      </w:r>
      <w:hyperlink r:id="rId106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│10. │    Светильники для стационарного</w:t>
      </w:r>
      <w:proofErr w:type="gramStart"/>
      <w:r>
        <w:t xml:space="preserve">               │      И</w:t>
      </w:r>
      <w:proofErr w:type="gramEnd"/>
      <w:r>
        <w:t>з 8530      │</w:t>
      </w:r>
    </w:p>
    <w:p w:rsidR="00D17D2C" w:rsidRDefault="00D17D2C">
      <w:pPr>
        <w:pStyle w:val="ConsPlusCell"/>
        <w:jc w:val="both"/>
      </w:pPr>
      <w:r>
        <w:t>│    │электрического освещения                        │             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│11. │    Камни натуральные и искусственные бортовые</w:t>
      </w:r>
      <w:proofErr w:type="gramStart"/>
      <w:r>
        <w:t xml:space="preserve">  │      И</w:t>
      </w:r>
      <w:proofErr w:type="gramEnd"/>
      <w:r>
        <w:t>з 2516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│12. │    Трубы дорожные водопропускные</w:t>
      </w:r>
      <w:proofErr w:type="gramStart"/>
      <w:r>
        <w:t xml:space="preserve">               │      И</w:t>
      </w:r>
      <w:proofErr w:type="gramEnd"/>
      <w:r>
        <w:t>з 6810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│13. │    Плиты дорожные железобетонные</w:t>
      </w:r>
      <w:proofErr w:type="gramStart"/>
      <w:r>
        <w:t xml:space="preserve">               │      И</w:t>
      </w:r>
      <w:proofErr w:type="gramEnd"/>
      <w:r>
        <w:t>з 6810      │</w:t>
      </w:r>
    </w:p>
    <w:p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D17D2C" w:rsidRDefault="00D17D2C">
      <w:pPr>
        <w:pStyle w:val="ConsPlusCell"/>
        <w:jc w:val="both"/>
      </w:pPr>
      <w:r>
        <w:t>│14. │    Лотки дорожные водоотводные</w:t>
      </w:r>
      <w:proofErr w:type="gramStart"/>
      <w:r>
        <w:t xml:space="preserve">                 │      И</w:t>
      </w:r>
      <w:proofErr w:type="gramEnd"/>
      <w:r>
        <w:t>з 6815      │</w:t>
      </w:r>
    </w:p>
    <w:p w:rsidR="00D17D2C" w:rsidRDefault="00D17D2C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└────┴────────────────────────────────────────────────┴───────────────────┘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Title"/>
        <w:jc w:val="center"/>
        <w:outlineLvl w:val="0"/>
      </w:pPr>
      <w:bookmarkStart w:id="12" w:name="P563"/>
      <w:bookmarkEnd w:id="12"/>
      <w:r>
        <w:t>ПЕРЕЧЕНЬ</w:t>
      </w:r>
    </w:p>
    <w:p w:rsidR="00D17D2C" w:rsidRDefault="00D17D2C">
      <w:pPr>
        <w:pStyle w:val="ConsPlusTitle"/>
        <w:jc w:val="center"/>
      </w:pPr>
      <w:r>
        <w:t xml:space="preserve">СТАНДАРТОВ, В РЕЗУЛЬТАТЕ ПРИМЕНЕНИЯ КОТОРЫХ НА </w:t>
      </w:r>
      <w:proofErr w:type="gramStart"/>
      <w:r>
        <w:t>ДОБРОВОЛЬНОЙ</w:t>
      </w:r>
      <w:proofErr w:type="gramEnd"/>
    </w:p>
    <w:p w:rsidR="00D17D2C" w:rsidRDefault="00D17D2C">
      <w:pPr>
        <w:pStyle w:val="ConsPlusTitle"/>
        <w:jc w:val="center"/>
      </w:pPr>
      <w:r>
        <w:t xml:space="preserve">ОСНОВЕ ОБЕСПЕЧИВАЕТСЯ СОБЛЮДЕНИЕ ТРЕБОВАНИЙ </w:t>
      </w:r>
      <w:proofErr w:type="gramStart"/>
      <w:r>
        <w:t>ТЕХНИЧЕСКОГО</w:t>
      </w:r>
      <w:proofErr w:type="gramEnd"/>
    </w:p>
    <w:p w:rsidR="00D17D2C" w:rsidRDefault="00D17D2C">
      <w:pPr>
        <w:pStyle w:val="ConsPlusTitle"/>
        <w:jc w:val="center"/>
      </w:pPr>
      <w:r>
        <w:t>РЕГЛАМЕНТА ТАМОЖЕННОГО СОЮЗА "БЕЗОПАСНОСТЬ</w:t>
      </w:r>
    </w:p>
    <w:p w:rsidR="00D17D2C" w:rsidRDefault="00D17D2C">
      <w:pPr>
        <w:pStyle w:val="ConsPlusTitle"/>
        <w:jc w:val="center"/>
      </w:pPr>
      <w:r>
        <w:t>АВТОМОБИЛЬНЫХ ДОРОГ"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Утратил силу. - </w:t>
      </w:r>
      <w:hyperlink r:id="rId107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Title"/>
        <w:jc w:val="center"/>
        <w:outlineLvl w:val="0"/>
      </w:pPr>
      <w:r>
        <w:t>ПЕРЕЧЕНЬ</w:t>
      </w:r>
    </w:p>
    <w:p w:rsidR="00D17D2C" w:rsidRDefault="00D17D2C">
      <w:pPr>
        <w:pStyle w:val="ConsPlusTitle"/>
        <w:jc w:val="center"/>
      </w:pPr>
      <w:r>
        <w:t>СТАНДАРТОВ, СОДЕРЖАЩИЕ ПРАВИЛА И МЕТОДЫ ИССЛЕДОВАНИЙ</w:t>
      </w:r>
    </w:p>
    <w:p w:rsidR="00D17D2C" w:rsidRDefault="00D17D2C">
      <w:pPr>
        <w:pStyle w:val="ConsPlusTitle"/>
        <w:jc w:val="center"/>
      </w:pPr>
      <w:r>
        <w:t>(ИСПЫТАНИЙ) И ИЗМЕРЕНИЙ, В ТОМ ЧИСЛЕ ПРАВИЛА ОТБОРА</w:t>
      </w:r>
    </w:p>
    <w:p w:rsidR="00D17D2C" w:rsidRDefault="00D17D2C">
      <w:pPr>
        <w:pStyle w:val="ConsPlusTitle"/>
        <w:jc w:val="center"/>
      </w:pPr>
      <w:r>
        <w:t>ОБРАЗЦОВ, НЕОБХОДИМЫЕ ДЛЯ ПРИМЕНЕНИЯ И ИСПОЛНЕНИЯ</w:t>
      </w:r>
    </w:p>
    <w:p w:rsidR="00D17D2C" w:rsidRDefault="00D17D2C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D17D2C" w:rsidRDefault="00D17D2C">
      <w:pPr>
        <w:pStyle w:val="ConsPlusTitle"/>
        <w:jc w:val="center"/>
      </w:pPr>
      <w:r>
        <w:t>"БЕЗОПАСНОСТЬ АВТОМОБИЛЬНЫХ ДОРОГ" И ОСУЩЕСТВЛЕНИЯ</w:t>
      </w:r>
    </w:p>
    <w:p w:rsidR="00D17D2C" w:rsidRDefault="00D17D2C">
      <w:pPr>
        <w:pStyle w:val="ConsPlusTitle"/>
        <w:jc w:val="center"/>
      </w:pPr>
      <w:r>
        <w:t>ОЦЕНКИ (ПОДТВЕРЖДЕНИЯ) СООТВЕТСТВИЯ ПРОДУКЦИИ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  <w:r>
        <w:t xml:space="preserve">Утратил силу. - </w:t>
      </w:r>
      <w:hyperlink r:id="rId108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ind w:firstLine="540"/>
        <w:jc w:val="both"/>
      </w:pPr>
    </w:p>
    <w:p w:rsidR="00D17D2C" w:rsidRDefault="00D17D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4AF" w:rsidRDefault="00AC34AF">
      <w:bookmarkStart w:id="13" w:name="_GoBack"/>
      <w:bookmarkEnd w:id="13"/>
    </w:p>
    <w:sectPr w:rsidR="00AC34AF" w:rsidSect="00C2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2C"/>
    <w:rsid w:val="00AC34AF"/>
    <w:rsid w:val="00D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988BD1B861A272AB7D822FC39B828EBACC5593438C2AA1EED17607121DF06D4A58F0E4CC7B5A9542FD5CB3E6GDJEN" TargetMode="External"/><Relationship Id="rId21" Type="http://schemas.openxmlformats.org/officeDocument/2006/relationships/hyperlink" Target="consultantplus://offline/ref=49988BD1B861A272AB7D822FC39B828EBFCE57904E872AA1EED17607121DF06D4A58F0E4CC7B5A9542FD5CB3E6GDJEN" TargetMode="External"/><Relationship Id="rId42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47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3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8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84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9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988BD1B861A272AB7D822FC39B828EBFC5569744872AA1EED17607121DF06D5858A8E8CD7344954FE80AE2A08944AB2DA13DCB5D20CABCG2J4N" TargetMode="External"/><Relationship Id="rId29" Type="http://schemas.openxmlformats.org/officeDocument/2006/relationships/hyperlink" Target="consultantplus://offline/ref=49988BD1B861A272AB7D822FC39B828EBFCC529D40862AA1EED17607121DF06D5858A8E8CD73449446E80AE2A08944AB2DA13DCB5D20CABCG2J4N" TargetMode="External"/><Relationship Id="rId107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11" Type="http://schemas.openxmlformats.org/officeDocument/2006/relationships/hyperlink" Target="consultantplus://offline/ref=49988BD1B861A272AB7D822FC39B828EBDCC599342862AA1EED17607121DF06D4A58F0E4CC7B5A9542FD5CB3E6GDJEN" TargetMode="External"/><Relationship Id="rId24" Type="http://schemas.openxmlformats.org/officeDocument/2006/relationships/hyperlink" Target="consultantplus://offline/ref=49988BD1B861A272AB7D822FC39B828EBACC5593438C2AA1EED17607121DF06D4A58F0E4CC7B5A9542FD5CB3E6GDJEN" TargetMode="External"/><Relationship Id="rId32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37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40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45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3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8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6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4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79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7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102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82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0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5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19" Type="http://schemas.openxmlformats.org/officeDocument/2006/relationships/hyperlink" Target="consultantplus://offline/ref=49988BD1B861A272AB7D822FC39B828EBFCD56944F822AA1EED17607121DF06D4A58F0E4CC7B5A9542FD5CB3E6GDJEN" TargetMode="External"/><Relationship Id="rId14" Type="http://schemas.openxmlformats.org/officeDocument/2006/relationships/hyperlink" Target="consultantplus://offline/ref=49988BD1B861A272AB7D822FC39B828EBDC55995478D2AA1EED17607121DF06D4A58F0E4CC7B5A9542FD5CB3E6GDJEN" TargetMode="External"/><Relationship Id="rId22" Type="http://schemas.openxmlformats.org/officeDocument/2006/relationships/hyperlink" Target="consultantplus://offline/ref=49988BD1B861A272AB7D8720C09B828EBFC856914F8F77ABE6887A051512AF685F49A8E8C56D449059E15EB1GEJ6N" TargetMode="External"/><Relationship Id="rId27" Type="http://schemas.openxmlformats.org/officeDocument/2006/relationships/hyperlink" Target="consultantplus://offline/ref=49988BD1B861A272AB7D822FC39B828EBACC579641872AA1EED17607121DF06D4A58F0E4CC7B5A9542FD5CB3E6GDJEN" TargetMode="External"/><Relationship Id="rId30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35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43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48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56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4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9" Type="http://schemas.openxmlformats.org/officeDocument/2006/relationships/hyperlink" Target="consultantplus://offline/ref=49988BD1B861A272AB7D822FC39B828EBCCD56904E802AA1EED17607121DF06D5858A8E8CD73449342E80AE2A08944AB2DA13DCB5D20CABCG2J4N" TargetMode="External"/><Relationship Id="rId77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100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5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8" Type="http://schemas.openxmlformats.org/officeDocument/2006/relationships/hyperlink" Target="consultantplus://offline/ref=49988BD1B861A272AB7D822FC39B828EBFC5569744872AA1EED17607121DF06D5858A8E8CD73449542E80AE2A08944AB2DA13DCB5D20CABCG2J4N" TargetMode="External"/><Relationship Id="rId51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2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80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85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93" Type="http://schemas.openxmlformats.org/officeDocument/2006/relationships/hyperlink" Target="consultantplus://offline/ref=49988BD1B861A272AB7D822FC39B828EBCCD56904E802AA1EED17607121DF06D5858A8E8CD73449444E80AE2A08944AB2DA13DCB5D20CABCG2J4N" TargetMode="External"/><Relationship Id="rId98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9988BD1B861A272AB7D822FC39B828EBDC55995478D2AA1EED17607121DF06D4A58F0E4CC7B5A9542FD5CB3E6GDJEN" TargetMode="External"/><Relationship Id="rId17" Type="http://schemas.openxmlformats.org/officeDocument/2006/relationships/hyperlink" Target="consultantplus://offline/ref=49988BD1B861A272AB7D822FC39B828EBFC5569744872AA1EED17607121DF06D5858A8E8CD73449447E80AE2A08944AB2DA13DCB5D20CABCG2J4N" TargetMode="External"/><Relationship Id="rId25" Type="http://schemas.openxmlformats.org/officeDocument/2006/relationships/hyperlink" Target="consultantplus://offline/ref=49988BD1B861A272AB7D822FC39B828EBACC5593438C2AA1EED17607121DF06D4A58F0E4CC7B5A9542FD5CB3E6GDJEN" TargetMode="External"/><Relationship Id="rId33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38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46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59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67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103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8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20" Type="http://schemas.openxmlformats.org/officeDocument/2006/relationships/hyperlink" Target="consultantplus://offline/ref=49988BD1B861A272AB7D8720C09B828EBFC85092428F77ABE6887A051512AF685F49A8E8C56D449059E15EB1GEJ6N" TargetMode="External"/><Relationship Id="rId41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54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62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0" Type="http://schemas.openxmlformats.org/officeDocument/2006/relationships/hyperlink" Target="consultantplus://offline/ref=49988BD1B861A272AB7D822FC39B828EBACC5792448C2AA1EED17607121DF06D5858A8E8CD7347914EE80AE2A08944AB2DA13DCB5D20CABCG2J4N" TargetMode="External"/><Relationship Id="rId75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3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88" Type="http://schemas.openxmlformats.org/officeDocument/2006/relationships/hyperlink" Target="consultantplus://offline/ref=49988BD1B861A272AB7D822FC39B828EBACC5792448C2AA1EED17607121DF06D5858A8E8CD73479140E80AE2A08944AB2DA13DCB5D20CABCG2J4N" TargetMode="External"/><Relationship Id="rId91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96" Type="http://schemas.openxmlformats.org/officeDocument/2006/relationships/hyperlink" Target="consultantplus://offline/ref=49988BD1B861A272AB7D822FC39B828EBACC5593438C2AA1EED17607121DF06D5858A8EAC57810C403B653B2ECC249AF3BBD3DCCG4J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5" Type="http://schemas.openxmlformats.org/officeDocument/2006/relationships/hyperlink" Target="consultantplus://offline/ref=49988BD1B861A272AB7D822FC39B828EBFC5569744872AA1EED17607121DF06D5858A8E8CD73449541E80AE2A08944AB2DA13DCB5D20CABCG2J4N" TargetMode="External"/><Relationship Id="rId23" Type="http://schemas.openxmlformats.org/officeDocument/2006/relationships/hyperlink" Target="consultantplus://offline/ref=49988BD1B861A272AB7D8720C09B828EB8C8509C4CD27DA3BF8478021A4DAA7D4E11A4E1D373418B45E35CGBJ1N" TargetMode="External"/><Relationship Id="rId28" Type="http://schemas.openxmlformats.org/officeDocument/2006/relationships/hyperlink" Target="consultantplus://offline/ref=49988BD1B861A272AB7D822FC39B828EBACC5593438C2AA1EED17607121DF06D4A58F0E4CC7B5A9542FD5CB3E6GDJEN" TargetMode="External"/><Relationship Id="rId36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49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57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106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31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44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52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0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5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73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78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81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6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4" Type="http://schemas.openxmlformats.org/officeDocument/2006/relationships/hyperlink" Target="consultantplus://offline/ref=49988BD1B861A272AB7D822FC39B828EBACC5792448C2AA1EED17607121DF06D5858A8E8CD7347914EE80AE2A08944AB2DA13DCB5D20CABCG2J4N" TargetMode="External"/><Relationship Id="rId99" Type="http://schemas.openxmlformats.org/officeDocument/2006/relationships/hyperlink" Target="consultantplus://offline/ref=49988BD1B861A272AB7D822FC39B828EBDC4529144872AA1EED17607121DF06D5858A8E8CD73449444E80AE2A08944AB2DA13DCB5D20CABCG2J4N" TargetMode="External"/><Relationship Id="rId101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988BD1B861A272AB7D822FC39B828EBFCD56944F822AA1EED17607121DF06D5858A8E8CD73449240E80AE2A08944AB2DA13DCB5D20CABCG2J4N" TargetMode="External"/><Relationship Id="rId13" Type="http://schemas.openxmlformats.org/officeDocument/2006/relationships/hyperlink" Target="consultantplus://offline/ref=49988BD1B861A272AB7D822FC39B828EBDCC599342862AA1EED17607121DF06D4A58F0E4CC7B5A9542FD5CB3E6GDJEN" TargetMode="External"/><Relationship Id="rId18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39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50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5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76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7" Type="http://schemas.openxmlformats.org/officeDocument/2006/relationships/hyperlink" Target="consultantplus://offline/ref=49988BD1B861A272AB7D822FC39B828EBDC4529144872AA1EED17607121DF06D5858A8E8CD73449444E80AE2A08944AB2DA13DCB5D20CABCG2J4N" TargetMode="External"/><Relationship Id="rId104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7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71" Type="http://schemas.openxmlformats.org/officeDocument/2006/relationships/hyperlink" Target="consultantplus://offline/ref=49988BD1B861A272AB7D822FC39B828EBCC4559447842AA1EED17607121DF06D5858A8E8CD73449446E80AE2A08944AB2DA13DCB5D20CABCG2J4N" TargetMode="External"/><Relationship Id="rId92" Type="http://schemas.openxmlformats.org/officeDocument/2006/relationships/hyperlink" Target="consultantplus://offline/ref=49988BD1B861A272AB7D822FC39B828EBCCD56904E802AA1EED17607121DF06D5858A8E8CD73449444E80AE2A08944AB2DA13DCB5D20CABCG2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16747</Words>
  <Characters>95464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P03U03</cp:lastModifiedBy>
  <cp:revision>1</cp:revision>
  <dcterms:created xsi:type="dcterms:W3CDTF">2022-05-18T13:09:00Z</dcterms:created>
  <dcterms:modified xsi:type="dcterms:W3CDTF">2022-05-18T13:10:00Z</dcterms:modified>
</cp:coreProperties>
</file>